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СБОРНИКИ</w:t>
      </w:r>
    </w:p>
    <w:p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Особенности машиночитаемой каталогизации в формате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RUSMARC</w:t>
      </w:r>
    </w:p>
    <w:p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>
      <w:pPr>
        <w:tabs>
          <w:tab w:val="left" w:pos="1560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методические рекомендации</w:t>
      </w:r>
    </w:p>
    <w:p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>
      <w:pPr>
        <w:pStyle w:val="1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Сборник произведений одного автора с общим заглавием </w:t>
      </w:r>
    </w:p>
    <w:p>
      <w:pPr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Cs/>
          <w:i/>
          <w:iCs/>
          <w:sz w:val="26"/>
          <w:szCs w:val="26"/>
        </w:rPr>
        <w:t>Общее заглавие указано на титульном лис</w:t>
      </w:r>
      <w:bookmarkStart w:id="2" w:name="_GoBack"/>
      <w:bookmarkEnd w:id="2"/>
      <w:r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те. Заглавия произведений, входящих в сборник, указаны в оглавлении книги. </w:t>
      </w:r>
    </w:p>
    <w:p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Вошедшие в сборник произведения перечисляются в примечании о содержании (поле 327). На заглавия произведений, вошедших в данный сборник, формируются точки доступа, для чего используется повторяющееся поле связи 464-Аналитический уровень со встроенным полем 200, подполе $a и, при необходимости, другими подполями этого поля (например – подполе $e).</w:t>
      </w:r>
    </w:p>
    <w:p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Пример 1: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1#$aТошнота$eизбранные произведения$fЖан-Поль Сартр$gпер. с фр. В. П. Гайдака [и др.]$gвступ. ст. С. Н. Зенкина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203 ##$aТекст$bвизуальный$cнепосредственный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210 ##$aМосква$cРеспублика$d1994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215 ##$a494, [2] с.$cил.$d23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320 ##$aБиблиография в подстрочных примечаниях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327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0#$aСодержание: Тошнота : роман ; Слова : повесть ; Новеллы: Стена ; Комната ; Герострат ; Интим ; Детство хозяина и др.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#0$12001#$aСтена$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e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повесть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#0$12001#$aКомната$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e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повесть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#0$12001#$aГерострат$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e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повесть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#0$12001#$aИнтим$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e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повесть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#0$12001#$aДетство хозяина$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e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повесть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610 0#$aФранцузская художественная литература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686 ##$a84(4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Фра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)6-44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я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44$vLBC/M$2rubbk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700 #1$aСартр$bЖ.-П.$gЖан-Поль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702 #1$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Гайдак$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b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В.П. 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g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$4730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702 #1$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Зенкин$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b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С. Н.$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g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$4080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Пример 2: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1#$aКазино$e[сборник]$fВиктория Токарева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203 ##$aТекст$bвизуальный$cнепосредственный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210 ##$aМосква$cАСТ$d2003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215 ##$a317, [1] с.$d21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327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1#$aСодержание: Повести: Своя правда ; Лавина ; Старая собака ; Рассказы: Казино ; Свинячья победа ; Щелчок ; Гладкое личико ; Банкетный зал ; О том, чего не было ; Из жизни миллионеров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#0$12001#$aСвоя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правда$eповесть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#0$12001#$aЛавина$eповесть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#0$12001#$aСтарая собака$eповесть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#0$12001#$aСвинячья победа$eрассказ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#0$12001#$aЩелчок$eрассказ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#0$12001#$aГладкое личико$eрассказ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#0$12001#$aБанкетный зал$eрассказ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#0$12001#$aО том, чего не было$eрассказ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#0$12001#$aИз жизни миллионеров$eрассказ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610 0#$aРусская художественная литература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686 ##$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84(2=411.2)6-44я44$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vLBC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$2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rubbk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700 #1$3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RU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\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NLR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\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AUTH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\771520$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Токарева$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b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В.С.$f1937-$gВиктория Самойловна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  <w:t>Важно: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Если общее заглавие сборника совпадает с заглавием одного из произведений, то это заглавие не повторяется в поле 464, но указывается в поле 327.</w:t>
      </w:r>
    </w:p>
    <w:p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Поле 464 повторяется для каждого заглавия, указанного в поле 327.</w:t>
      </w:r>
    </w:p>
    <w:p>
      <w:pPr>
        <w:rPr>
          <w:rFonts w:ascii="Times New Roman" w:hAnsi="Times New Roman" w:cs="Times New Roman"/>
          <w:bCs/>
          <w:iCs/>
          <w:sz w:val="26"/>
          <w:szCs w:val="26"/>
          <w:lang w:eastAsia="ru-RU"/>
        </w:rPr>
      </w:pPr>
    </w:p>
    <w:p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>
      <w:pPr>
        <w:pStyle w:val="1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Сборник произведений одного автора с общим заглавием </w:t>
      </w:r>
    </w:p>
    <w:p>
      <w:pPr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На титульном листе указаны один/два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типовых</w:t>
      </w:r>
      <w:r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заглавия, которые представляют один/два раздела и рассматриваются как сложное заглавие из одной/двух фраз. Заглавия произведений, входящих в сборник, указаны в оглавлении книги. </w:t>
      </w:r>
    </w:p>
    <w:p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Вошедшие в сборник произведения перечисляются в примечании о содержании (поле 327). На заглавия произведений, вошедших в данный сборник, формируются точки доступа, для чего используется повторяющееся поле связи 464-Аналитический уровень со встроенным полем 200, подполе $a и, при необходимости, другими подполями этого поля (в данном примере – подполе $e).</w:t>
      </w:r>
    </w:p>
    <w:p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Пример 3: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1#$aНовеллы$fВашингтонИрвинг$gсост., вступ. ст. А. Зверева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203 ##$aТекст$bвизуальный$cнепосредственный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210 ##$aМосква$cХудожественная литература$d1983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215 ##$a733, [1] c.$d22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225 1#$aБиблиотека литературы США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300 ##$aВ переплете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327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1#$aСодержание: Жених-призрак ; Дом с привидениями ; Кладоискатели ; Легенда об арабском астрологе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#0$12001#$aЖених-призрак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#0$12001#$aДом с привидениями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#0$12001#$aКладоискатели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#0$12001#$aЛегенда об арабском астрологе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610 0#$aАмериканская художественная литература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686 ##$a84(7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Сое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)5-44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я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44$vLBC/M$2rubbk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700 #1$a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Ирвинг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$b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.$g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Вашингтон</w:t>
      </w:r>
    </w:p>
    <w:p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702#1$a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Зверев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$b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.$4220$4080</w:t>
      </w:r>
    </w:p>
    <w:p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Пример 4: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1#$aПьесы$e[сборник]$fА. Н. Островский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203 ##$aТекст$bвизуальный$cнепосредственный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210 ##$aЛенинград$cХудожественная литература, Ленинградское отделение$d1986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215 ##$a382, [2] с.$d20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225 1#$aКлассики и современники$iРусская классическая литература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327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0#$aСодержание: Свои люди - сочтемся! ; Гроза ; На всякого мудреца довольно простоты и др. пьесы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#0$12001#$aСвои люди - сочтемся!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#0$12001#$aГроза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#0$12001#$aНа всякого мудреца довольно простоты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610 0#$aРусская художественная литература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610 0#$aПьесы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686 ##$a84(2=411.2)5-6я44$vLBC/M$2rubbk</w:t>
      </w:r>
    </w:p>
    <w:p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700 #1$aОстровский$bА. Н.$gАлександр Николаевич</w:t>
      </w:r>
    </w:p>
    <w:p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  <w:t>Важно: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Поле 464 повторяется для каждого заглавия, указанного в поле 327.</w:t>
      </w:r>
    </w:p>
    <w:p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>
      <w:pPr>
        <w:pStyle w:val="1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>Сборник произведений одного автора без общего заглавия</w:t>
      </w:r>
    </w:p>
    <w:p>
      <w:pPr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Cs/>
          <w:i/>
          <w:iCs/>
          <w:sz w:val="26"/>
          <w:szCs w:val="26"/>
        </w:rPr>
        <w:t>Входящие в сборник произведения указаны на титульном листе.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Точка доступа создается на каждое произведение, входящее в сборник, при повторении в поле 200 подполя $a и, при необходимости, других подполей.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Пример 5: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1#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$a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Повелитель мух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$a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Чрезвычайный посол$eповести$fУильям Голдинг$gпер.: Е. Суриц, Ю. Здоровова$gвступ. ст. и примеч. А. А. Чамеева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203 ##$aТекст$bвизуальный$cнепосредственный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210 ##$aМосква$cПушкинская библиотека$cАСТ$d2003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215 ##$a714, [2] c.$d22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225 1#$aЗолотой фонд мировой классики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610 0#$aАнглийская художественная литература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686 ##$a84(4Вел)6-44я44$vLBC/M$2rubbk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700 #1$aГолдинг$bУ.$gУильям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702 #1$aСуриц$bЕ.$4730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702 #1$aЗдоровова$bЮ.$4730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702 #1$aЧамеева$bА. А.$4080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Пример 6: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1#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$a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Дорога к дому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$a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Друзья познаются в беде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$a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Дневник доктора Веры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$a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Любимая песня$fВ. Томин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203 ##$aТекст$bвизуальный$cнепосредственный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210 ##$aМосква$cЗнание$d1980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215 ##$a112 с.$cил.$d18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610 0#$aРусская художественная литература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686 ##$a84(2=411.2)6-44я44$vLBC/M$2rubbk</w:t>
      </w:r>
    </w:p>
    <w:p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700 #1$aТомин$bВ.$gВалентин Романович</w:t>
      </w:r>
    </w:p>
    <w:p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>
      <w:pPr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>
      <w:pPr>
        <w:pStyle w:val="1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Сборник произведений разных авторов под общим заглавием </w:t>
      </w:r>
    </w:p>
    <w:p>
      <w:pPr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На титульном листе указано общее заглавие сборника. Самостоятельные произведения разных авторов указаны в оглавлении книги. </w:t>
      </w:r>
    </w:p>
    <w:p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Вошедшие в сборник произведения с авторами перечисляются в примечании о содержании (поле 327). Дополнительные точки доступа на авторов и заглавия произведений, входящих в сборник, формируются с использованием поля связи 464-Аналитический уровень со встроенными полями 200 и 700.</w:t>
      </w:r>
    </w:p>
    <w:p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Пример 7: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1#$aВесенний подарок$eлучшие романы о любви$e[сборник$eдля среднего школьного возраста]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203 ##$aТекст$bвизуальный$cнепосредственный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210 ##$aМосква$cЭксмо$d2008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215 ##$a395, [1] с.$cил.$d22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327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1#$aСодержание: Королева цветов / Татьяна Тронина. Поцелуй принца / Елена Нестерина. Бал моей мечты / Светлана Лубенец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1#$aКоролевацветов$fТатьяна Тронина$1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#1$aТронина$bТ.$gТатьяна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1#$aПоцелуйпринца$fЕлена Нестерина$1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#1$aНестерина$bЕ.$gЕлена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1#$aБал моей мечты$fСветлана Лубенец$1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#1$aЛубенец$bС.$gСветлана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610 0#$aРусская художественная литература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610 0#$aДетская литература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686 ##$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84(2=411.2)6-44я43$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vLBC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$2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rubbk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Пример 8: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1#$aБлогБастер$eпервый сезон$eповести и рассказы победителей премии "БлогБастер"$f[сост. И. Бояшов]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210 ##$aСанкт-Петербург$cАмфора$d2008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215 ##$a245, [2] с.$d21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225 1#$aСерия "БлогБастер"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225 1#$aСборник сетевой прозы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327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1#$aСодержание: Сокровища бомжа : повесть / Наталия Козина. Калиюга севера : рассказ / Игорь Голубенцев. Дракон играет жемчужиной : рассказ / Ян Шилов. Как я был расистом... : рассказ / Юрий Юрковец. Ярость : рассказ / Людмила Брус. Энтомолог в голландском кружеве : эссе / Юлия Дунаева. Я часто вижу сны : рассказ / Павел Гаврилин. Паутинка : рассказ / Татьяна Алексеева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1#$aСокровища бомжа$eповесть$fНаталия Козина$1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#1$aКозина$bН.$gНаталия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1#$aКалиюга севера$eрассказ$fИгорь Голубенцев$1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#1$aГолубенцев$bИ.$gИгорь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1#$aДракон играет жемчужиной$eрассказ$fЯн Шилов$1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#1$aШилов$bЯ.$gЯн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1#$aКак я был расистом...$eрассказ$fЮрий Юрковец$1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#1$aЮрковец$bЮ.$gЮрий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1#$aЯрость$eрассказ$fЛюдмила Брус$1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#1$aБрус$bЛ.$gЛюдмила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1#$aЭнтомолог в голландском кружеве$eэссе$fЮлия Дунаева$1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#1$aДунаева$bЮ.$gЮлия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1#$aЯ часто вижу сны$eрассказ$fПавел Гаврилин$1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#1$aГаврилин$bП.$gПавел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1#$aПаутинка$eрассказ$fТатьяна Алексеева$1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#1$aАлексеева$bТ.$gТатьяна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610 0#$aРусская художественная литература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686 ##$a84(2Рос=Рус)6-4я43$vLBC/RL$2rubbk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702 #1$aБояшов$bИ.$4220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Пример 9: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1#$aПоэты пушкинской поры$eсборник стихотворений$fсост., вступ. ст., биогр. очерки и коммент. Н. И. Якушина$gхудож. В. Панов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203 ##$aТекст$bвизуальный$cнепосредственный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210 ##$aМосква$cДетская литература$d2005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215 ##$a314, [1] с.$cил.$d18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225 1#$aШкольная библиотека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327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0#$aСодержит авторов: В. А. Жуковский, К. Н. Батюшков, Д. В. Давыдов, Ф. Н. Глинка, П. А. Катенин и др.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#1$3RU\NLR\AUTH\775529$aЖуковский$bВ. А.$f1783-1852$gВасилий Андреевич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#1$3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RU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\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NLR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\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AUTH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\774389$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Батюшков$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b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К.Н.$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f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1787-1855$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g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КонстантинНиколаевич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#1$3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RU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\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NLR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\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AUTH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\7717131$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Давыдов$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b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Д.В.$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c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поэт$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f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1784-1839$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g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ДенисВасильевич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#1$3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RU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\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NLR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\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AUTH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\7753724$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Глинка$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b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Ф.Н.$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f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1786-1880$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g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ФедорНиколаевич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#1$3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RU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\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NLR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\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AUTH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\7753725$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Катенин$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b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П.А.$f1792-1853$gПавел Александрович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610 0#$aРусская художественная литература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686 ##$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84(2=411.2)$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vLBC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$2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rubbk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702 #1$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Якушин$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b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Н. И.$4220$4080$4212</w:t>
      </w:r>
    </w:p>
    <w:p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702 #1$aПанов$bВ.$4440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>
      <w:pPr>
        <w:pStyle w:val="1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>Сборник произведений разных авторов без общего заглавия</w:t>
      </w:r>
    </w:p>
    <w:p>
      <w:pPr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На титульном листе указаны самостоятельные произведения разных авторов (заглавия произведений и авторы). </w:t>
      </w:r>
    </w:p>
    <w:p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Основная запись - под именем первого автора, основное заглавие - заглавие первого произведения. Для второго и последующих авторов и произведений точки доступа формируются через поле связи 423 - «Издается в одной обложке вместе с… » со встроенными полями 200, 700 и другими.</w:t>
      </w:r>
    </w:p>
    <w:p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Пример 10: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1#$aПогоня$fЖорж Сименон$g[пер. Е. Кубичева]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203 ##$aТекст$bвизуальный$cнепосредственный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210 ##$aМосква$cВодный транспорт$d1990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215 ##$a61, [1] с.$cил.$d20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423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#0$12001#$aПремия, которую не получил никто$fДжеймс Ульман$g[пер. Т. Гладкова]$1215##$aС. 47-62$1700#1$aУльман$bД.$gДжеймс$1702#1$aГладков $bТ.$4730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610 0#$aФранцузская художественная литература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610 0#$aАмериканская художественная литература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686 ##$a84(4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Фра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)6-44$vLBC/M$2rubbk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686 ##$a84(7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Сое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)6-44$vLBC/M$2rubbk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700 #1$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Сименон$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b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Ж.$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g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Жорж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702 #1$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Кубичев$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b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Е.$4730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Пример 11:</w:t>
      </w:r>
    </w:p>
    <w:p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6"/>
          <w:szCs w:val="26"/>
          <w:u w:val="single"/>
          <w:lang w:eastAsia="ru-RU"/>
        </w:rPr>
        <w:t>200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 1#$aЗвезда$e[повесть]$fЭ. Казакевич</w:t>
      </w:r>
    </w:p>
    <w:p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>203 ##$aТекст$bвизуальный$cнепосредственный</w:t>
      </w:r>
    </w:p>
    <w:p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>210 ##$aМосква$cХудожественная литература$d1966</w:t>
      </w:r>
    </w:p>
    <w:p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>215 ##$a516, [2] с.$cил.$d21</w:t>
      </w:r>
    </w:p>
    <w:p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>225 1#$aВеликая Отечественная...$fпод общ. ред. В. Кожевникова [и др.]</w:t>
      </w:r>
    </w:p>
    <w:p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>300 ##$aВ переплете</w:t>
      </w:r>
    </w:p>
    <w:p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6"/>
          <w:szCs w:val="26"/>
          <w:u w:val="single"/>
          <w:lang w:eastAsia="ru-RU"/>
        </w:rPr>
        <w:t>423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 #0$12001#$aВ окопах Сталинграда$e[повесть]$fВ. Некрасов$1700#1$aНекрасов$bВ. П.$gВиктор Платонович</w:t>
      </w:r>
    </w:p>
    <w:p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6"/>
          <w:szCs w:val="26"/>
          <w:u w:val="single"/>
          <w:lang w:eastAsia="ru-RU"/>
        </w:rPr>
        <w:t>423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 #0$11011#$arus$ckaz$12001#$aСолдат из Казахстана$e[повесть]$fГ. Мусрепов$g[авториз. пер. с каз. С. Злобина$gк сб. в целом:] ил. Л. Хайлова, А. Тарана$1700#1$aМусрепов$bГ. М.$gГабит Махмудович$1702#1$aЗлобин$bС.$4730$1702#1$aХайлов$bЛ.$4440$1702#1$aТаран$bА.$4440</w:t>
      </w:r>
    </w:p>
    <w:p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>610 0#$aРусская художественная литература</w:t>
      </w:r>
    </w:p>
    <w:p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>610 0#$aКазахская художественная литература</w:t>
      </w:r>
    </w:p>
    <w:p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val="en-US"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val="en-US" w:eastAsia="ru-RU"/>
        </w:rPr>
        <w:t>686 ##$a84(2=411.2)6-44$vLBC/A$2rubbk</w:t>
      </w:r>
    </w:p>
    <w:p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val="en-US"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val="en-US" w:eastAsia="ru-RU"/>
        </w:rPr>
        <w:t>686 ##$a84(5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>Каз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val="en-US" w:eastAsia="ru-RU"/>
        </w:rPr>
        <w:t>)6-44$vLBC/A$2rubbk</w:t>
      </w:r>
    </w:p>
    <w:p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>700 #1$aКазакевич$bЭ. Г.$f1913-1962$gЭммануил Генрихович</w:t>
      </w:r>
    </w:p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jc w:val="center"/>
        <w:rPr>
          <w:rFonts w:ascii="Times New Roman" w:hAnsi="Times New Roman" w:cs="Times New Roman"/>
          <w:b/>
          <w:sz w:val="28"/>
        </w:rPr>
      </w:pP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Работа с 327, 423, 464 полями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Добавление нужного поля:</w:t>
      </w:r>
    </w:p>
    <w:p>
      <w:pPr>
        <w:jc w:val="center"/>
        <w:rPr>
          <w:b/>
          <w:sz w:val="28"/>
          <w:szCs w:val="28"/>
        </w:rPr>
      </w:pPr>
      <w:r>
        <w:rPr>
          <w:rFonts w:eastAsia="Times New Roman" w:cstheme="minorHAnsi"/>
          <w:szCs w:val="24"/>
          <w:lang w:eastAsia="ru-RU"/>
        </w:rPr>
        <w:pict>
          <v:shape id="Стрелка влево 15" o:spid="_x0000_s1026" o:spt="66" type="#_x0000_t66" style="position:absolute;left:0pt;margin-left:170pt;margin-top:65.95pt;height:11.25pt;width:65.85pt;rotation:-1135352f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">
            <v:path/>
            <v:fill focussize="0,0"/>
            <v:stroke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b/>
          <w:sz w:val="28"/>
          <w:szCs w:val="28"/>
          <w:lang w:eastAsia="ru-RU"/>
        </w:rPr>
        <w:drawing>
          <wp:inline distT="0" distB="0" distL="0" distR="0">
            <wp:extent cx="5711825" cy="2470785"/>
            <wp:effectExtent l="133350" t="114300" r="155575" b="15811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4" t="13810" r="4394" b="5000"/>
                    <a:stretch>
                      <a:fillRect/>
                    </a:stretch>
                  </pic:blipFill>
                  <pic:spPr>
                    <a:xfrm>
                      <a:off x="0" y="0"/>
                      <a:ext cx="5716849" cy="2473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Выбрать кнопку «Поля».</w:t>
      </w:r>
    </w:p>
    <w:p>
      <w:pPr>
        <w:spacing w:after="0" w:line="240" w:lineRule="auto"/>
        <w:rPr>
          <w:b/>
          <w:sz w:val="24"/>
        </w:rPr>
      </w:pPr>
    </w:p>
    <w:p>
      <w:pPr>
        <w:jc w:val="center"/>
        <w:rPr>
          <w:b/>
          <w:sz w:val="24"/>
        </w:rPr>
      </w:pPr>
      <w:r>
        <w:rPr>
          <w:b/>
          <w:sz w:val="24"/>
          <w:lang w:eastAsia="ru-RU"/>
        </w:rPr>
        <w:pict>
          <v:shape id="Стрелка влево 14" o:spid="_x0000_s1027" o:spt="66" type="#_x0000_t66" style="position:absolute;left:0pt;margin-left:170.05pt;margin-top:72.15pt;height:11.3pt;width:75.6pt;rotation:-992847f;z-index:251660288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">
            <v:path/>
            <v:fill focussize="0,0"/>
            <v:stroke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b/>
          <w:sz w:val="24"/>
          <w:lang w:eastAsia="ru-RU"/>
        </w:rPr>
        <w:drawing>
          <wp:inline distT="0" distB="0" distL="0" distR="0">
            <wp:extent cx="5730240" cy="2341880"/>
            <wp:effectExtent l="133350" t="95250" r="137160" b="17272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71" t="14350" r="3454" b="5349"/>
                    <a:stretch>
                      <a:fillRect/>
                    </a:stretch>
                  </pic:blipFill>
                  <pic:spPr>
                    <a:xfrm>
                      <a:off x="0" y="0"/>
                      <a:ext cx="5726414" cy="2340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50165</wp:posOffset>
            </wp:positionH>
            <wp:positionV relativeFrom="margin">
              <wp:posOffset>7166610</wp:posOffset>
            </wp:positionV>
            <wp:extent cx="2673350" cy="1446530"/>
            <wp:effectExtent l="19050" t="0" r="0" b="0"/>
            <wp:wrapSquare wrapText="bothSides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626" t="37444" r="31873" b="24632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>Нажать кнопку «Новое» и ввести нужное поле (327, 423, 464). Или кнопку «Из списка» и выбрать нужное поле из списка полей.</w:t>
      </w:r>
    </w:p>
    <w:p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  <w:lang w:eastAsia="ru-RU"/>
        </w:rPr>
        <w:drawing>
          <wp:inline distT="0" distB="0" distL="0" distR="0">
            <wp:extent cx="2926080" cy="1495425"/>
            <wp:effectExtent l="0" t="0" r="7620" b="9525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973" t="28475" r="14461" b="14460"/>
                    <a:stretch>
                      <a:fillRect/>
                    </a:stretch>
                  </pic:blipFill>
                  <pic:spPr>
                    <a:xfrm>
                      <a:off x="0" y="0"/>
                      <a:ext cx="2932541" cy="149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p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Нажать кнопку «ОК», либо, в случае выбора поля из списка, кнопку «Добавить».</w:t>
      </w:r>
    </w:p>
    <w:p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Поле 327 – Примечания о содержании</w:t>
      </w:r>
    </w:p>
    <w:p>
      <w:pPr>
        <w:spacing w:after="0" w:line="360" w:lineRule="auto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Поле содержит примечания, относящиеся к содержанию каталогизируемого ресурса. </w:t>
      </w:r>
    </w:p>
    <w:p>
      <w:pPr>
        <w:spacing w:before="100" w:beforeAutospacing="1" w:after="0" w:line="360" w:lineRule="auto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ru-RU"/>
        </w:rPr>
        <w:t>Индикаторы</w:t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6"/>
          <w:szCs w:val="26"/>
          <w:u w:val="single"/>
          <w:lang w:eastAsia="ru-RU"/>
        </w:rPr>
        <w:t>Индикатор 1</w:t>
      </w:r>
      <w:r>
        <w:rPr>
          <w:rFonts w:ascii="Times New Roman" w:hAnsi="Times New Roman" w:eastAsia="Times New Roman" w:cs="Times New Roman"/>
          <w:b/>
          <w:i/>
          <w:sz w:val="26"/>
          <w:szCs w:val="26"/>
          <w:lang w:eastAsia="ru-RU"/>
        </w:rPr>
        <w:t xml:space="preserve"> : Индикатор полноты </w:t>
      </w:r>
    </w:p>
    <w:p>
      <w:pPr>
        <w:spacing w:after="0" w:line="360" w:lineRule="auto"/>
        <w:ind w:left="72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Индикатор определяет, содержит ли рассматриваемое поле полную информацию о содержании ресурса. </w:t>
      </w:r>
    </w:p>
    <w:p>
      <w:pPr>
        <w:spacing w:after="0" w:line="360" w:lineRule="auto"/>
        <w:ind w:left="72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eastAsia="ru-RU"/>
        </w:rPr>
        <w:t>#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  -  Не определено</w:t>
      </w:r>
    </w:p>
    <w:p>
      <w:pPr>
        <w:spacing w:after="0" w:line="360" w:lineRule="auto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eastAsia="ru-RU"/>
        </w:rPr>
        <w:t>0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 -  Примечание о содержании не является полным </w:t>
      </w:r>
    </w:p>
    <w:p>
      <w:pPr>
        <w:spacing w:after="0" w:line="360" w:lineRule="auto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eastAsia="ru-RU"/>
        </w:rPr>
        <w:t>1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 -  Примечание о содержании является полным </w:t>
      </w:r>
    </w:p>
    <w:p>
      <w:pPr>
        <w:spacing w:after="0" w:line="360" w:lineRule="auto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eastAsia="ru-RU"/>
        </w:rPr>
        <w:t>2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 -  Примечание о содержании является частичным </w:t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i/>
          <w:sz w:val="26"/>
          <w:szCs w:val="26"/>
          <w:lang w:eastAsia="ru-RU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6"/>
          <w:szCs w:val="26"/>
          <w:u w:val="single"/>
          <w:lang w:eastAsia="ru-RU"/>
        </w:rPr>
        <w:t>Индикатор 2</w:t>
      </w:r>
      <w:r>
        <w:rPr>
          <w:rFonts w:ascii="Times New Roman" w:hAnsi="Times New Roman" w:eastAsia="Times New Roman" w:cs="Times New Roman"/>
          <w:b/>
          <w:i/>
          <w:sz w:val="26"/>
          <w:szCs w:val="26"/>
          <w:lang w:eastAsia="ru-RU"/>
        </w:rPr>
        <w:t xml:space="preserve"> : Индикатор структуры</w:t>
      </w:r>
    </w:p>
    <w:p>
      <w:pPr>
        <w:spacing w:after="0" w:line="360" w:lineRule="auto"/>
        <w:ind w:left="720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Индикатор определяет, представлена ли информация в поле в структурированном или неструктурированном виде. </w:t>
      </w:r>
    </w:p>
    <w:p>
      <w:pPr>
        <w:spacing w:after="0" w:line="360" w:lineRule="auto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eastAsia="ru-RU"/>
        </w:rPr>
        <w:t xml:space="preserve"># 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 -  Примечание представлено в неструктурированном виде </w:t>
      </w:r>
    </w:p>
    <w:p>
      <w:pPr>
        <w:spacing w:after="0" w:line="360" w:lineRule="auto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eastAsia="ru-RU"/>
        </w:rPr>
        <w:t>1 </w:t>
      </w:r>
      <w:r>
        <w:rPr>
          <w:rFonts w:ascii="Times New Roman" w:hAnsi="Times New Roman" w:eastAsia="Times New Roman" w:cs="Times New Roman"/>
          <w:sz w:val="26"/>
          <w:szCs w:val="26"/>
          <w:lang w:eastAsia="ru-RU"/>
        </w:rPr>
        <w:t xml:space="preserve">-  Примечание представлено в структурированном виде </w:t>
      </w:r>
    </w:p>
    <w:p>
      <w:pPr>
        <w:spacing w:after="0" w:line="360" w:lineRule="auto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</w:p>
    <w:p>
      <w:pPr>
        <w:spacing w:before="240" w:after="0" w:line="360" w:lineRule="auto"/>
        <w:rPr>
          <w:rFonts w:ascii="Times New Roman" w:hAnsi="Times New Roman" w:eastAsia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ru-RU"/>
        </w:rPr>
        <w:t>Подполя</w:t>
      </w:r>
    </w:p>
    <w:p>
      <w:pPr>
        <w:spacing w:before="240"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$</w:t>
      </w:r>
      <w:r>
        <w:rPr>
          <w:rFonts w:ascii="Times New Roman" w:hAnsi="Times New Roman" w:cs="Times New Roman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sz w:val="26"/>
          <w:szCs w:val="26"/>
        </w:rPr>
        <w:t>Текст примечания</w:t>
      </w:r>
    </w:p>
    <w:p>
      <w:pPr>
        <w:spacing w:before="240" w:after="0" w:line="36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Поле 327 – Примечания о содержании. Пунктуация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 РПК гл. 16: «... Вводные слова отделяют от основного содержания примечания двоеточием без предшествующего пробела»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i/>
          <w:sz w:val="26"/>
          <w:szCs w:val="26"/>
          <w:u w:val="single"/>
        </w:rPr>
        <w:t>вводные слова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327 1#$aСодержани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е</w:t>
      </w:r>
      <w:r>
        <w:rPr>
          <w:rFonts w:ascii="Times New Roman" w:hAnsi="Times New Roman" w:cs="Times New Roman"/>
          <w:b/>
          <w:color w:val="000000" w:themeColor="text1"/>
          <w:sz w:val="32"/>
          <w:szCs w:val="26"/>
          <w:u w:val="single"/>
        </w:rPr>
        <w:t>: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 xml:space="preserve"> П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овест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и</w:t>
      </w:r>
      <w:r>
        <w:rPr>
          <w:rFonts w:ascii="Times New Roman" w:hAnsi="Times New Roman" w:cs="Times New Roman"/>
          <w:b/>
          <w:color w:val="000000" w:themeColor="text1"/>
          <w:sz w:val="32"/>
          <w:szCs w:val="26"/>
          <w:u w:val="single"/>
        </w:rPr>
        <w:t>: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 xml:space="preserve"> С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воя правда ; Лавина ; Старая собака </w:t>
      </w:r>
    </w:p>
    <w:p>
      <w:pPr>
        <w:spacing w:before="240"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 ГОСТ Р 7.0.100-2018 п. 4.6.5.: «Для разделения областей и элементов, а также для различения предписанной и грамматической пунктуации применяют пробелы в один печатный знак до и после предписанного знака. Исключение составляют знаки «точка» и «запятая», пробелы оставляют только после них»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 ГОСТ Р 7.0.100-2018 п. 5.2.6.1.: «Первым сведениям об ответственности предшествует предписанный знак «косая черта»; последующие группы сведений отделяют друг от друга предписанным знаком «точка с запятой». </w:t>
      </w:r>
      <w:r>
        <w:rPr>
          <w:rStyle w:val="21"/>
          <w:rFonts w:ascii="Times New Roman" w:hAnsi="Times New Roman" w:cs="Times New Roman"/>
          <w:sz w:val="26"/>
          <w:szCs w:val="26"/>
        </w:rPr>
        <w:t xml:space="preserve">Однородные сведения внутри </w:t>
      </w:r>
      <w:r>
        <w:rPr>
          <w:rFonts w:ascii="Times New Roman" w:hAnsi="Times New Roman" w:cs="Times New Roman"/>
          <w:sz w:val="26"/>
          <w:szCs w:val="26"/>
        </w:rPr>
        <w:t>группы отделяют друг от друга знаком «запятая»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 ГОСТ Р 7.0.100-2018 п. 5.2.7.1.: «... В области последовательно приводят помещенные в источнике информации заглавия отдельных произведений вместе с относящимися к каждому из них сведениями. Каждую группу сведений отделяют от последующей знаком «точка с запятой», если у произведений сборника один автор, или знаком «точка», если авторы произведений разные или автор отсутствует. Внутри группы сведений употребляют знаки, предписанные для элементов данной области»</w:t>
      </w:r>
    </w:p>
    <w:p>
      <w:pPr>
        <w:spacing w:before="240" w:after="0" w:line="360" w:lineRule="auto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i/>
          <w:sz w:val="26"/>
          <w:szCs w:val="26"/>
          <w:u w:val="single"/>
        </w:rPr>
        <w:t>предписанные знаки</w:t>
      </w:r>
    </w:p>
    <w:p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3271#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$aСодержание: Королева цвето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 xml:space="preserve">в </w:t>
      </w:r>
      <w:r>
        <w:rPr>
          <w:rFonts w:ascii="Times New Roman" w:hAnsi="Times New Roman" w:cs="Times New Roman"/>
          <w:b/>
          <w:color w:val="000000" w:themeColor="text1"/>
          <w:sz w:val="32"/>
          <w:szCs w:val="26"/>
          <w:u w:val="single"/>
        </w:rPr>
        <w:t>/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 xml:space="preserve"> Т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атьяна Тронин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а</w:t>
      </w:r>
      <w:r>
        <w:rPr>
          <w:rFonts w:ascii="Times New Roman" w:hAnsi="Times New Roman" w:cs="Times New Roman"/>
          <w:b/>
          <w:color w:val="000000" w:themeColor="text1"/>
          <w:sz w:val="32"/>
          <w:szCs w:val="26"/>
          <w:u w:val="single"/>
        </w:rPr>
        <w:t>.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 xml:space="preserve"> П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оцелуй принц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а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2"/>
          <w:szCs w:val="26"/>
          <w:u w:val="single"/>
        </w:rPr>
        <w:t>/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Е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лена Нестерин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а</w:t>
      </w:r>
      <w:r>
        <w:rPr>
          <w:rFonts w:ascii="Times New Roman" w:hAnsi="Times New Roman" w:cs="Times New Roman"/>
          <w:b/>
          <w:color w:val="000000" w:themeColor="text1"/>
          <w:sz w:val="32"/>
          <w:szCs w:val="26"/>
          <w:u w:val="single"/>
        </w:rPr>
        <w:t>.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 xml:space="preserve"> Б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ал моей мечт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 xml:space="preserve">ы </w:t>
      </w:r>
      <w:r>
        <w:rPr>
          <w:rFonts w:ascii="Times New Roman" w:hAnsi="Times New Roman" w:cs="Times New Roman"/>
          <w:b/>
          <w:color w:val="000000" w:themeColor="text1"/>
          <w:sz w:val="32"/>
          <w:szCs w:val="26"/>
          <w:u w:val="single"/>
        </w:rPr>
        <w:t>/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 xml:space="preserve"> С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ветлана Лубенец</w:t>
      </w:r>
    </w:p>
    <w:p>
      <w:pPr>
        <w:spacing w:before="240" w:after="0" w:line="360" w:lineRule="auto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i/>
          <w:sz w:val="26"/>
          <w:szCs w:val="26"/>
          <w:u w:val="single"/>
        </w:rPr>
        <w:t>предписанные знаки</w:t>
      </w:r>
    </w:p>
    <w:p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327 1#$aСодержание: Из тумана забвени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я </w:t>
      </w:r>
      <w:r>
        <w:rPr>
          <w:rFonts w:ascii="Times New Roman" w:hAnsi="Times New Roman" w:cs="Times New Roman"/>
          <w:b/>
          <w:sz w:val="32"/>
          <w:szCs w:val="26"/>
          <w:u w:val="single"/>
        </w:rPr>
        <w:t>: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р</w:t>
      </w:r>
      <w:r>
        <w:rPr>
          <w:rFonts w:ascii="Times New Roman" w:hAnsi="Times New Roman" w:cs="Times New Roman"/>
          <w:sz w:val="26"/>
          <w:szCs w:val="26"/>
        </w:rPr>
        <w:t>ома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н </w:t>
      </w:r>
      <w:r>
        <w:rPr>
          <w:rFonts w:ascii="Times New Roman" w:hAnsi="Times New Roman" w:cs="Times New Roman"/>
          <w:b/>
          <w:sz w:val="32"/>
          <w:szCs w:val="26"/>
          <w:u w:val="single"/>
        </w:rPr>
        <w:t>;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К</w:t>
      </w:r>
      <w:r>
        <w:rPr>
          <w:rFonts w:ascii="Times New Roman" w:hAnsi="Times New Roman" w:cs="Times New Roman"/>
          <w:sz w:val="26"/>
          <w:szCs w:val="26"/>
        </w:rPr>
        <w:t>рик петуха на Варварк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е </w:t>
      </w:r>
      <w:r>
        <w:rPr>
          <w:rFonts w:ascii="Times New Roman" w:hAnsi="Times New Roman" w:cs="Times New Roman"/>
          <w:b/>
          <w:sz w:val="32"/>
          <w:szCs w:val="26"/>
          <w:u w:val="single"/>
        </w:rPr>
        <w:t>: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овесть</w:t>
      </w:r>
    </w:p>
    <w:p>
      <w:pPr>
        <w:spacing w:after="0" w:line="360" w:lineRule="auto"/>
        <w:rPr>
          <w:rFonts w:ascii="Times New Roman" w:hAnsi="Times New Roman" w:cs="Times New Roman"/>
          <w:i/>
          <w:sz w:val="26"/>
          <w:szCs w:val="26"/>
        </w:rPr>
      </w:pPr>
    </w:p>
    <w:p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i/>
          <w:sz w:val="26"/>
          <w:szCs w:val="26"/>
          <w:u w:val="single"/>
        </w:rPr>
        <w:t>предписанные знаки</w:t>
      </w:r>
    </w:p>
    <w:p>
      <w:pPr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3270#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$aСодержит авторов: В. А. Жуковски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й</w:t>
      </w:r>
      <w:r>
        <w:rPr>
          <w:rFonts w:ascii="Times New Roman" w:hAnsi="Times New Roman" w:cs="Times New Roman"/>
          <w:b/>
          <w:color w:val="000000" w:themeColor="text1"/>
          <w:sz w:val="32"/>
          <w:szCs w:val="26"/>
          <w:u w:val="single"/>
        </w:rPr>
        <w:t>,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 xml:space="preserve"> К.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Н. Батюшко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в</w:t>
      </w:r>
      <w:r>
        <w:rPr>
          <w:rFonts w:ascii="Times New Roman" w:hAnsi="Times New Roman" w:cs="Times New Roman"/>
          <w:color w:val="000000" w:themeColor="text1"/>
          <w:sz w:val="32"/>
          <w:szCs w:val="26"/>
          <w:u w:val="single"/>
        </w:rPr>
        <w:t>,</w:t>
      </w: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 xml:space="preserve"> Д.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В. Давыдов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и др.</w:t>
      </w:r>
    </w:p>
    <w:p>
      <w:pPr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>
      <w:pPr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>
      <w:pPr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>
      <w:pPr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>
      <w:pPr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Редакция 423, 464 полей</w:t>
      </w:r>
    </w:p>
    <w:p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Подвести курсор к номеру поля (423, 464) и нажать правую кнопку мыши.</w:t>
      </w:r>
    </w:p>
    <w:p>
      <w:pPr>
        <w:spacing w:after="0" w:line="360" w:lineRule="auto"/>
        <w:jc w:val="center"/>
        <w:rPr>
          <w:rFonts w:ascii="Arial" w:hAnsi="Arial" w:cs="Arial"/>
          <w:bCs/>
          <w:iCs/>
          <w:sz w:val="26"/>
          <w:szCs w:val="26"/>
        </w:rPr>
      </w:pPr>
      <w:r>
        <w:rPr>
          <w:lang w:eastAsia="ru-RU"/>
        </w:rPr>
        <w:drawing>
          <wp:inline distT="0" distB="0" distL="0" distR="0">
            <wp:extent cx="5627370" cy="3014980"/>
            <wp:effectExtent l="133350" t="114300" r="144780" b="1663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4755"/>
                    <a:stretch>
                      <a:fillRect/>
                    </a:stretch>
                  </pic:blipFill>
                  <pic:spPr>
                    <a:xfrm>
                      <a:off x="0" y="0"/>
                      <a:ext cx="5628192" cy="3015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В открывшемся подменю выбрать пункт «Редактировать встроенную запись».</w:t>
      </w:r>
    </w:p>
    <w:p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lang w:eastAsia="ru-RU"/>
        </w:rPr>
        <w:drawing>
          <wp:inline distT="0" distB="0" distL="0" distR="0">
            <wp:extent cx="5727065" cy="3056890"/>
            <wp:effectExtent l="133350" t="95250" r="140335" b="1625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b="5094"/>
                    <a:stretch>
                      <a:fillRect/>
                    </a:stretch>
                  </pic:blipFill>
                  <pic:spPr>
                    <a:xfrm>
                      <a:off x="0" y="0"/>
                      <a:ext cx="5727356" cy="3057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Вам откроется «Встроенная запись» с полями, которые нужно заполнить. Если нужное вам поле отсутствует, его можно добавить.</w:t>
      </w:r>
    </w:p>
    <w:p>
      <w:pPr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>
      <w:pPr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>
      <w:pPr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bookmarkStart w:id="0" w:name="b423"/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423  Издается в одной обложке вместе с ...</w:t>
      </w:r>
      <w:bookmarkEnd w:id="0"/>
    </w:p>
    <w:p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Поле используется для отражения данных о произведениях, изданных в сборнике без общего заглавия или включенных в издательский конволют.</w:t>
      </w:r>
    </w:p>
    <w:p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Индикатор примечания поля 423 имеет значение равное 0. Поле 423 со встроенными полями 200 и другими таким образом используется только для организации точки доступа к заглавию и автору издания.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 встроенной записи заполняем нужные поля (200, 215, 700 и др.)</w:t>
      </w:r>
    </w:p>
    <w:p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lang w:eastAsia="ru-RU"/>
        </w:rPr>
        <w:drawing>
          <wp:inline distT="0" distB="0" distL="0" distR="0">
            <wp:extent cx="5714365" cy="3061970"/>
            <wp:effectExtent l="133350" t="95250" r="153035" b="1574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4746"/>
                    <a:stretch>
                      <a:fillRect/>
                    </a:stretch>
                  </pic:blipFill>
                  <pic:spPr>
                    <a:xfrm>
                      <a:off x="0" y="0"/>
                      <a:ext cx="5716192" cy="3062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</w:pPr>
    </w:p>
    <w:p>
      <w:pPr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423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1#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$a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Премия, которую не получил никто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$f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ДжеймсУльман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$g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[пер. Т. Гладкова]$1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215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##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$a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С. 47-62$1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700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$a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Ульман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$b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Д.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$g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Джеймс$1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702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#1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$a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Гладков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$b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Т.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$4730</w:t>
      </w:r>
    </w:p>
    <w:p>
      <w:p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26"/>
          <w:shd w:val="clear" w:color="auto" w:fill="FFFFFF"/>
        </w:rPr>
      </w:pPr>
      <w:bookmarkStart w:id="1" w:name="b464"/>
    </w:p>
    <w:p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26"/>
          <w:shd w:val="clear" w:color="auto" w:fill="FFFFFF"/>
        </w:rPr>
      </w:pPr>
    </w:p>
    <w:p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26"/>
          <w:shd w:val="clear" w:color="auto" w:fill="FFFFFF"/>
        </w:rPr>
      </w:pPr>
    </w:p>
    <w:p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26"/>
          <w:shd w:val="clear" w:color="auto" w:fill="FFFFFF"/>
        </w:rPr>
      </w:pPr>
    </w:p>
    <w:p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26"/>
          <w:shd w:val="clear" w:color="auto" w:fill="FFFFFF"/>
        </w:rPr>
      </w:pPr>
    </w:p>
    <w:p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26"/>
          <w:shd w:val="clear" w:color="auto" w:fill="FFFFFF"/>
        </w:rPr>
        <w:t>464  Аналитический уровень</w:t>
      </w:r>
      <w:bookmarkEnd w:id="1"/>
    </w:p>
    <w:p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  <w:t xml:space="preserve">Поле применяется для идентификации иерархической связи с ресурсом на аналитическом уровне. Ресурс, с которым устанавливается связь, имеет аналитический уровень, а запись, содержащая это поле, относится к уровню физической единицы. </w:t>
      </w:r>
      <w:r>
        <w:rPr>
          <w:rFonts w:ascii="Times New Roman" w:hAnsi="Times New Roman" w:eastAsia="Times New Roman" w:cs="Times New Roman"/>
          <w:color w:val="000000" w:themeColor="text1"/>
          <w:sz w:val="26"/>
          <w:szCs w:val="26"/>
          <w:shd w:val="clear" w:color="auto" w:fill="FFFFFF"/>
          <w:lang w:eastAsia="ru-RU"/>
        </w:rPr>
        <w:t>Поле применяется при описании сборника произведений одного или нескольких авторов, имеющего общее заглавие.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Индикатор примечания поля 464 имеет значение равное 0. Поле 464 со встроенным полем 200 таким образом используется только для организации точки доступа к названию произведений,  со встроенным полем 700 - для организации точки доступа к авторам, входящим в сборник.</w:t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 встроенной записи заполняем поле 200  подполе $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a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(и другие подполя, если требуется).</w:t>
      </w:r>
    </w:p>
    <w:p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lang w:eastAsia="ru-RU"/>
        </w:rPr>
        <w:drawing>
          <wp:inline distT="0" distB="0" distL="0" distR="0">
            <wp:extent cx="5612765" cy="3004185"/>
            <wp:effectExtent l="133350" t="114300" r="140335" b="1581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2190" t="4741" r="3334" b="5354"/>
                    <a:stretch>
                      <a:fillRect/>
                    </a:stretch>
                  </pic:blipFill>
                  <pic:spPr>
                    <a:xfrm>
                      <a:off x="0" y="0"/>
                      <a:ext cx="5612318" cy="3004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lang w:eastAsia="ru-RU"/>
        </w:rPr>
      </w:pPr>
    </w:p>
    <w:p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lang w:eastAsia="ru-RU"/>
        </w:rPr>
        <w:drawing>
          <wp:inline distT="0" distB="0" distL="0" distR="0">
            <wp:extent cx="5687695" cy="3075940"/>
            <wp:effectExtent l="133350" t="95250" r="141605" b="1625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5"/>
                    <a:srcRect l="2095" t="4740" r="3334" b="4338"/>
                    <a:stretch>
                      <a:fillRect/>
                    </a:stretch>
                  </pic:blipFill>
                  <pic:spPr>
                    <a:xfrm>
                      <a:off x="0" y="0"/>
                      <a:ext cx="5688367" cy="3076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#0$12001#$aЖених-призрак$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e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новелла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#0$12001#$aДом с привидениями</w:t>
      </w:r>
    </w:p>
    <w:p>
      <w:pPr>
        <w:spacing w:after="0"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#0$12001#$aКладоискатели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464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#0$12001#$aЛегенда об арабском астрологе</w:t>
      </w:r>
    </w:p>
    <w:sectPr>
      <w:headerReference r:id="rId5" w:type="default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Bodoni MT Black">
    <w:panose1 w:val="02070A03080606020203"/>
    <w:charset w:val="00"/>
    <w:family w:val="roman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ru-RU"/>
      </w:rPr>
      <w:pict>
        <v:group id="Группа 196" o:spid="_x0000_s2049" o:spt="203" style="position:absolute;left:0pt;margin-left:236.5pt;margin-top:9pt;height:38.6pt;width:347.9pt;mso-position-horizontal-relative:page;mso-position-vertical-relative:page;z-index:251659264;mso-width-relative:page;mso-height-relative:page;" coordorigin="330,308" coordsize="11586,835" o:allowincell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">
          <o:lock v:ext="edit"/>
          <v:rect id="Rectangle 197" o:spid="_x0000_s2052" o:spt="1" style="position:absolute;left:637;top:360;height:720;width:9169;v-text-anchor:middle;" fillcolor="#E36C0A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kqMQA&#10;AADaAAAADwAAAGRycy9kb3ducmV2LnhtbESPQWvCQBSE74L/YXlCb7rRVg1pNiJCoJdCtYXi7ZF9&#10;TUKyb2N2m6T/vlsQehxm5hsmPUymFQP1rrasYL2KQBAXVtdcKvh4z5cxCOeRNbaWScEPOThk81mK&#10;ibYjn2m4+FIECLsEFVTed4mUrqjIoFvZjjh4X7Y36IPsS6l7HAPctHITRTtpsOawUGFHp4qK5vJt&#10;FGy1vsZFt989fY7546lxb6+37VGph8V0fAbhafL/4Xv7RSvYwN+Vc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hpKjEAAAA2gAAAA8AAAAAAAAAAAAAAAAAmAIAAGRycy9k&#10;b3ducmV2LnhtbFBLBQYAAAAABAAEAPUAAACJAwAAAAA=&#10;">
            <v:path/>
            <v:fill on="t" focussize="0,0"/>
            <v:stroke on="f"/>
            <v:imagedata o:title=""/>
            <o:lock v:ext="edit"/>
            <v:textbox>
              <w:txbxContent>
                <w:p>
                  <w:pPr>
                    <w:pStyle w:val="9"/>
                    <w:rPr>
                      <w:rFonts w:ascii="Bodoni MT Black" w:hAnsi="Bodoni MT Black"/>
                      <w:i/>
                      <w:sz w:val="18"/>
                      <w:szCs w:val="28"/>
                    </w:rPr>
                  </w:pPr>
                  <w:sdt>
                    <w:sdtPr>
                      <w:rPr>
                        <w:rFonts w:ascii="Bodoni MT Black" w:hAnsi="Bodoni MT Black"/>
                        <w:i/>
                        <w:sz w:val="18"/>
                        <w:szCs w:val="28"/>
                      </w:rPr>
                      <w:alias w:val="Название"/>
                      <w:id w:val="-1798601957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>
                      <w:rPr>
                        <w:rFonts w:ascii="Bodoni MT Black" w:hAnsi="Bodoni MT Black"/>
                        <w:i/>
                        <w:sz w:val="18"/>
                        <w:szCs w:val="28"/>
                      </w:rPr>
                    </w:sdtEndPr>
                    <w:sdtContent>
                      <w:r>
                        <w:rPr>
                          <w:rFonts w:ascii="Times New Roman" w:hAnsi="Times New Roman"/>
                          <w:i/>
                          <w:sz w:val="18"/>
                          <w:szCs w:val="28"/>
                        </w:rPr>
                        <w:t>МЕТОДИЧЕСКИЕ РЕКОМЕНДАЦИИ</w:t>
                      </w:r>
                    </w:sdtContent>
                  </w:sdt>
                </w:p>
                <w:p>
                  <w:pPr>
                    <w:pStyle w:val="9"/>
                    <w:rPr>
                      <w:rFonts w:ascii="Bodoni MT Black" w:hAnsi="Bodoni MT Black"/>
                      <w:i/>
                      <w:sz w:val="1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18"/>
                      <w:szCs w:val="28"/>
                    </w:rPr>
                    <w:t>Центра каталогизации документов библиотечного фонда ДГПБ</w:t>
                  </w:r>
                </w:p>
              </w:txbxContent>
            </v:textbox>
          </v:rect>
          <v:rect id="Rectangle 198" o:spid="_x0000_s2051" o:spt="1" style="position:absolute;left:10004;top:360;height:720;width:1732;v-text-anchor:middle;" fillcolor="#9BBB59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2iMMA&#10;AADaAAAADwAAAGRycy9kb3ducmV2LnhtbESP3WrCQBSE7wXfYTmCd7rxhyKpq5QWoYLSNvYBjtlj&#10;Epo9G3a3Jvr0riB4OczMN8xy3ZlanMn5yrKCyTgBQZxbXXGh4PewGS1A+ICssbZMCi7kYb3q95aY&#10;atvyD52zUIgIYZ+igjKEJpXS5yUZ9GPbEEfvZJ3BEKUrpHbYRrip5TRJXqTBiuNCiQ29l5T/Zf9G&#10;wd7Kb7mriuOk5eTjcv2ab52ZKzUcdG+vIAJ14Rl+tD+1ghncr8Qb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d2iMMAAADaAAAADwAAAAAAAAAAAAAAAACYAgAAZHJzL2Rv&#10;d25yZXYueG1sUEsFBgAAAAAEAAQA9QAAAIgDAAAAAA==&#10;">
            <v:path/>
            <v:fill on="t" focussize="0,0"/>
            <v:stroke on="f"/>
            <v:imagedata o:title=""/>
            <o:lock v:ext="edit"/>
            <v:textbox>
              <w:txbxContent>
                <w:p>
                  <w:pPr>
                    <w:pStyle w:val="9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 xml:space="preserve">апрель, </w:t>
                  </w:r>
                </w:p>
                <w:p>
                  <w:pPr>
                    <w:pStyle w:val="9"/>
                    <w:rPr>
                      <w:rFonts w:hint="default"/>
                      <w:b/>
                      <w:sz w:val="14"/>
                      <w:lang w:val="ru-RU"/>
                    </w:rPr>
                  </w:pPr>
                  <w:r>
                    <w:rPr>
                      <w:b/>
                      <w:sz w:val="14"/>
                    </w:rPr>
                    <w:t xml:space="preserve">2024, № </w:t>
                  </w:r>
                  <w:r>
                    <w:rPr>
                      <w:rFonts w:hint="default"/>
                      <w:b/>
                      <w:sz w:val="14"/>
                      <w:lang w:val="ru-RU"/>
                    </w:rPr>
                    <w:t>2</w:t>
                  </w:r>
                </w:p>
              </w:txbxContent>
            </v:textbox>
          </v:rect>
          <v:rect id="Rectangle 199" o:spid="_x0000_s2050" o:spt="1" style="position:absolute;left:330;top:308;height:835;width:11586;" fill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hAcMA&#10;AADaAAAADwAAAGRycy9kb3ducmV2LnhtbESPQYvCMBSE78L+h/CEvYimuipajbIIC+JBsIp4fDTP&#10;tti8lCRq/febhQWPw8x8wyzXranFg5yvLCsYDhIQxLnVFRcKTsef/gyED8gaa8uk4EUe1quPzhJT&#10;bZ98oEcWChEh7FNUUIbQpFL6vCSDfmAb4uhdrTMYonSF1A6fEW5qOUqSqTRYcVwosaFNSfktuxsF&#10;u/EkuYTz0B5nt6/53tW983R3V+qz234vQARqwzv8395qBWP4uxJv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fhAcMAAADaAAAADwAAAAAAAAAAAAAAAACYAgAAZHJzL2Rv&#10;d25yZXYueG1sUEsFBgAAAAAEAAQA9QAAAIgDAAAAAA==&#10;">
            <v:path/>
            <v:fill on="f" focussize="0,0"/>
            <v:stroke weight="1pt"/>
            <v:imagedata o:title=""/>
            <o:lock v:ext="edit"/>
          </v:rect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555033"/>
    <w:multiLevelType w:val="multilevel"/>
    <w:tmpl w:val="5D55503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UseIndentAsNumberingTabStop/>
    <w:compatSetting w:name="compatibilityMode" w:uri="http://schemas.microsoft.com/office/word" w:val="12"/>
  </w:compat>
  <w:rsids>
    <w:rsidRoot w:val="00085EE8"/>
    <w:rsid w:val="0000760E"/>
    <w:rsid w:val="0001156F"/>
    <w:rsid w:val="00011F1B"/>
    <w:rsid w:val="00013C36"/>
    <w:rsid w:val="0002442A"/>
    <w:rsid w:val="00024C6B"/>
    <w:rsid w:val="000418CD"/>
    <w:rsid w:val="000440B6"/>
    <w:rsid w:val="00051048"/>
    <w:rsid w:val="000525C3"/>
    <w:rsid w:val="0008146A"/>
    <w:rsid w:val="00085EE8"/>
    <w:rsid w:val="000A5CF1"/>
    <w:rsid w:val="000C1785"/>
    <w:rsid w:val="000C4847"/>
    <w:rsid w:val="000D5971"/>
    <w:rsid w:val="000E1CCE"/>
    <w:rsid w:val="000F5969"/>
    <w:rsid w:val="00116B69"/>
    <w:rsid w:val="00133D2E"/>
    <w:rsid w:val="001354A8"/>
    <w:rsid w:val="00150606"/>
    <w:rsid w:val="00164253"/>
    <w:rsid w:val="001654B8"/>
    <w:rsid w:val="00165612"/>
    <w:rsid w:val="0017315A"/>
    <w:rsid w:val="0017674D"/>
    <w:rsid w:val="00182904"/>
    <w:rsid w:val="0019054E"/>
    <w:rsid w:val="001927A0"/>
    <w:rsid w:val="001A3303"/>
    <w:rsid w:val="001B71E7"/>
    <w:rsid w:val="001C2EB9"/>
    <w:rsid w:val="001C32AC"/>
    <w:rsid w:val="001C77B0"/>
    <w:rsid w:val="001D1669"/>
    <w:rsid w:val="001D2BC7"/>
    <w:rsid w:val="001D617C"/>
    <w:rsid w:val="001D656E"/>
    <w:rsid w:val="0022673A"/>
    <w:rsid w:val="0023018B"/>
    <w:rsid w:val="00254C97"/>
    <w:rsid w:val="00265DB5"/>
    <w:rsid w:val="00275687"/>
    <w:rsid w:val="00281A14"/>
    <w:rsid w:val="0028753C"/>
    <w:rsid w:val="002C6D9E"/>
    <w:rsid w:val="002D6399"/>
    <w:rsid w:val="002D7642"/>
    <w:rsid w:val="002F1184"/>
    <w:rsid w:val="002F51E2"/>
    <w:rsid w:val="003050BD"/>
    <w:rsid w:val="003120D9"/>
    <w:rsid w:val="00326308"/>
    <w:rsid w:val="003344BE"/>
    <w:rsid w:val="00341B06"/>
    <w:rsid w:val="00341C53"/>
    <w:rsid w:val="003437E6"/>
    <w:rsid w:val="003528D0"/>
    <w:rsid w:val="003D56FD"/>
    <w:rsid w:val="0040581E"/>
    <w:rsid w:val="00410BE6"/>
    <w:rsid w:val="00414CF2"/>
    <w:rsid w:val="00417943"/>
    <w:rsid w:val="004276C5"/>
    <w:rsid w:val="00437E83"/>
    <w:rsid w:val="00453A87"/>
    <w:rsid w:val="00464142"/>
    <w:rsid w:val="004701E9"/>
    <w:rsid w:val="00471008"/>
    <w:rsid w:val="00477D00"/>
    <w:rsid w:val="004874D6"/>
    <w:rsid w:val="004D0E56"/>
    <w:rsid w:val="004D4A37"/>
    <w:rsid w:val="004E5D4C"/>
    <w:rsid w:val="004F44BF"/>
    <w:rsid w:val="00512D68"/>
    <w:rsid w:val="00533514"/>
    <w:rsid w:val="0053665D"/>
    <w:rsid w:val="005422EE"/>
    <w:rsid w:val="00544261"/>
    <w:rsid w:val="00546A62"/>
    <w:rsid w:val="00550A52"/>
    <w:rsid w:val="00564503"/>
    <w:rsid w:val="005734FA"/>
    <w:rsid w:val="0058464F"/>
    <w:rsid w:val="0059380E"/>
    <w:rsid w:val="005A16EE"/>
    <w:rsid w:val="005A3014"/>
    <w:rsid w:val="005A676A"/>
    <w:rsid w:val="005C186D"/>
    <w:rsid w:val="005D7055"/>
    <w:rsid w:val="005D7AD7"/>
    <w:rsid w:val="005E1338"/>
    <w:rsid w:val="005E1918"/>
    <w:rsid w:val="005E3F54"/>
    <w:rsid w:val="005F34CB"/>
    <w:rsid w:val="005F3C6A"/>
    <w:rsid w:val="00634221"/>
    <w:rsid w:val="00637F47"/>
    <w:rsid w:val="00640F57"/>
    <w:rsid w:val="00650729"/>
    <w:rsid w:val="00655861"/>
    <w:rsid w:val="00657A12"/>
    <w:rsid w:val="00667622"/>
    <w:rsid w:val="00672549"/>
    <w:rsid w:val="00675A37"/>
    <w:rsid w:val="006A707E"/>
    <w:rsid w:val="006B3007"/>
    <w:rsid w:val="006B45DE"/>
    <w:rsid w:val="006C4789"/>
    <w:rsid w:val="006F4F8D"/>
    <w:rsid w:val="007203AD"/>
    <w:rsid w:val="0073653D"/>
    <w:rsid w:val="007461B6"/>
    <w:rsid w:val="00746821"/>
    <w:rsid w:val="007527A9"/>
    <w:rsid w:val="00773E80"/>
    <w:rsid w:val="00773F60"/>
    <w:rsid w:val="00782A4A"/>
    <w:rsid w:val="007947A3"/>
    <w:rsid w:val="007D7573"/>
    <w:rsid w:val="007F278C"/>
    <w:rsid w:val="007F3863"/>
    <w:rsid w:val="007F4D2A"/>
    <w:rsid w:val="00823B13"/>
    <w:rsid w:val="00827BFE"/>
    <w:rsid w:val="00855B75"/>
    <w:rsid w:val="00880F90"/>
    <w:rsid w:val="00881931"/>
    <w:rsid w:val="00890A51"/>
    <w:rsid w:val="008A7508"/>
    <w:rsid w:val="008B21FA"/>
    <w:rsid w:val="008B5ADA"/>
    <w:rsid w:val="008E0414"/>
    <w:rsid w:val="008F778E"/>
    <w:rsid w:val="0090113F"/>
    <w:rsid w:val="009035DE"/>
    <w:rsid w:val="009141C1"/>
    <w:rsid w:val="00916E2A"/>
    <w:rsid w:val="00924986"/>
    <w:rsid w:val="0093464A"/>
    <w:rsid w:val="00950BDF"/>
    <w:rsid w:val="00951CFE"/>
    <w:rsid w:val="00960256"/>
    <w:rsid w:val="0097576F"/>
    <w:rsid w:val="009807C1"/>
    <w:rsid w:val="009A3E18"/>
    <w:rsid w:val="009A63E4"/>
    <w:rsid w:val="009C11A5"/>
    <w:rsid w:val="009C2420"/>
    <w:rsid w:val="009C7B49"/>
    <w:rsid w:val="009D06B3"/>
    <w:rsid w:val="00A01DCF"/>
    <w:rsid w:val="00A22656"/>
    <w:rsid w:val="00A23554"/>
    <w:rsid w:val="00A24DDC"/>
    <w:rsid w:val="00A2552E"/>
    <w:rsid w:val="00A31C8C"/>
    <w:rsid w:val="00A373D9"/>
    <w:rsid w:val="00A4285E"/>
    <w:rsid w:val="00A4733E"/>
    <w:rsid w:val="00A70D3C"/>
    <w:rsid w:val="00A72A45"/>
    <w:rsid w:val="00A83B8A"/>
    <w:rsid w:val="00A8404C"/>
    <w:rsid w:val="00A9283D"/>
    <w:rsid w:val="00AA3D75"/>
    <w:rsid w:val="00AA41F4"/>
    <w:rsid w:val="00AD1CAA"/>
    <w:rsid w:val="00AE3E91"/>
    <w:rsid w:val="00AE7004"/>
    <w:rsid w:val="00B02DD6"/>
    <w:rsid w:val="00B04945"/>
    <w:rsid w:val="00B12696"/>
    <w:rsid w:val="00B26790"/>
    <w:rsid w:val="00B30F26"/>
    <w:rsid w:val="00B3323B"/>
    <w:rsid w:val="00B432B5"/>
    <w:rsid w:val="00B46F28"/>
    <w:rsid w:val="00B52E17"/>
    <w:rsid w:val="00B81AB3"/>
    <w:rsid w:val="00B94F69"/>
    <w:rsid w:val="00B9557A"/>
    <w:rsid w:val="00B9782E"/>
    <w:rsid w:val="00BB09E1"/>
    <w:rsid w:val="00BD53C8"/>
    <w:rsid w:val="00BD54E2"/>
    <w:rsid w:val="00BE1775"/>
    <w:rsid w:val="00C20FB1"/>
    <w:rsid w:val="00C41355"/>
    <w:rsid w:val="00C52DE0"/>
    <w:rsid w:val="00C557D6"/>
    <w:rsid w:val="00C804ED"/>
    <w:rsid w:val="00CA1520"/>
    <w:rsid w:val="00CE0008"/>
    <w:rsid w:val="00CE529A"/>
    <w:rsid w:val="00CF11CB"/>
    <w:rsid w:val="00CF4713"/>
    <w:rsid w:val="00D05FDF"/>
    <w:rsid w:val="00D0782C"/>
    <w:rsid w:val="00D17054"/>
    <w:rsid w:val="00D3453C"/>
    <w:rsid w:val="00D408FC"/>
    <w:rsid w:val="00D40CE7"/>
    <w:rsid w:val="00D40D66"/>
    <w:rsid w:val="00D479DC"/>
    <w:rsid w:val="00D92DFD"/>
    <w:rsid w:val="00DA5865"/>
    <w:rsid w:val="00DB3FEC"/>
    <w:rsid w:val="00DC4263"/>
    <w:rsid w:val="00DC76A3"/>
    <w:rsid w:val="00DC784B"/>
    <w:rsid w:val="00DD6ED4"/>
    <w:rsid w:val="00DE6FC9"/>
    <w:rsid w:val="00E1490B"/>
    <w:rsid w:val="00E16EDB"/>
    <w:rsid w:val="00E278EC"/>
    <w:rsid w:val="00E33B94"/>
    <w:rsid w:val="00E46357"/>
    <w:rsid w:val="00E55899"/>
    <w:rsid w:val="00E645FB"/>
    <w:rsid w:val="00E76D51"/>
    <w:rsid w:val="00E8194A"/>
    <w:rsid w:val="00E933D8"/>
    <w:rsid w:val="00EA1D18"/>
    <w:rsid w:val="00EA3CB1"/>
    <w:rsid w:val="00EA3D5E"/>
    <w:rsid w:val="00EA5483"/>
    <w:rsid w:val="00EC711E"/>
    <w:rsid w:val="00EE365E"/>
    <w:rsid w:val="00F04730"/>
    <w:rsid w:val="00F12DDC"/>
    <w:rsid w:val="00F14C96"/>
    <w:rsid w:val="00F21982"/>
    <w:rsid w:val="00F25ABC"/>
    <w:rsid w:val="00F26871"/>
    <w:rsid w:val="00F32141"/>
    <w:rsid w:val="00F463AD"/>
    <w:rsid w:val="00F503D0"/>
    <w:rsid w:val="00F531AC"/>
    <w:rsid w:val="00F67ABD"/>
    <w:rsid w:val="00F90B4A"/>
    <w:rsid w:val="00F93112"/>
    <w:rsid w:val="00FA30A1"/>
    <w:rsid w:val="00FA690D"/>
    <w:rsid w:val="00FA70A2"/>
    <w:rsid w:val="00FD2188"/>
    <w:rsid w:val="00FF3C6A"/>
    <w:rsid w:val="00FF4D1A"/>
    <w:rsid w:val="00FF7117"/>
    <w:rsid w:val="2D6A2D98"/>
    <w:rsid w:val="340B3B7A"/>
    <w:rsid w:val="38E627E6"/>
    <w:rsid w:val="3EFA6ABC"/>
    <w:rsid w:val="41D35C22"/>
    <w:rsid w:val="6F007AF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basedOn w:val="1"/>
    <w:next w:val="1"/>
    <w:link w:val="20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otnote reference"/>
    <w:basedOn w:val="3"/>
    <w:semiHidden/>
    <w:unhideWhenUsed/>
    <w:qFormat/>
    <w:uiPriority w:val="99"/>
    <w:rPr>
      <w:vertAlign w:val="superscript"/>
    </w:rPr>
  </w:style>
  <w:style w:type="character" w:styleId="6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7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footnote text"/>
    <w:basedOn w:val="1"/>
    <w:link w:val="13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9">
    <w:name w:val="header"/>
    <w:basedOn w:val="1"/>
    <w:link w:val="14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footer"/>
    <w:basedOn w:val="1"/>
    <w:link w:val="15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2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Текст сноски Знак"/>
    <w:basedOn w:val="3"/>
    <w:link w:val="8"/>
    <w:semiHidden/>
    <w:qFormat/>
    <w:uiPriority w:val="99"/>
    <w:rPr>
      <w:sz w:val="20"/>
      <w:szCs w:val="20"/>
    </w:rPr>
  </w:style>
  <w:style w:type="character" w:customStyle="1" w:styleId="14">
    <w:name w:val="Верхний колонтитул Знак"/>
    <w:basedOn w:val="3"/>
    <w:link w:val="9"/>
    <w:qFormat/>
    <w:uiPriority w:val="99"/>
  </w:style>
  <w:style w:type="character" w:customStyle="1" w:styleId="15">
    <w:name w:val="Нижний колонтитул Знак"/>
    <w:basedOn w:val="3"/>
    <w:link w:val="10"/>
    <w:qFormat/>
    <w:uiPriority w:val="99"/>
  </w:style>
  <w:style w:type="character" w:customStyle="1" w:styleId="16">
    <w:name w:val="Текст выноски Знак"/>
    <w:basedOn w:val="3"/>
    <w:link w:val="7"/>
    <w:semiHidden/>
    <w:qFormat/>
    <w:uiPriority w:val="99"/>
    <w:rPr>
      <w:rFonts w:ascii="Tahoma" w:hAnsi="Tahoma" w:cs="Tahoma"/>
      <w:sz w:val="16"/>
      <w:szCs w:val="16"/>
    </w:rPr>
  </w:style>
  <w:style w:type="paragraph" w:styleId="17">
    <w:name w:val="List Paragraph"/>
    <w:basedOn w:val="1"/>
    <w:qFormat/>
    <w:uiPriority w:val="34"/>
    <w:pPr>
      <w:ind w:left="720"/>
      <w:contextualSpacing/>
    </w:pPr>
  </w:style>
  <w:style w:type="character" w:customStyle="1" w:styleId="18">
    <w:name w:val="jsgrdq"/>
    <w:basedOn w:val="3"/>
    <w:qFormat/>
    <w:uiPriority w:val="0"/>
  </w:style>
  <w:style w:type="paragraph" w:customStyle="1" w:styleId="19">
    <w:name w:val="_04xlpa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3"/>
    <w:link w:val="2"/>
    <w:qFormat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customStyle="1" w:styleId="21">
    <w:name w:val="highlight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1"/>
    <customShpInfo spid="_x0000_s2050"/>
    <customShpInfo spid="_x0000_s2049"/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017837-2231-4FDA-BFEE-96D3920CE1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16</Pages>
  <Words>2258</Words>
  <Characters>12872</Characters>
  <Lines>107</Lines>
  <Paragraphs>30</Paragraphs>
  <TotalTime>106</TotalTime>
  <ScaleCrop>false</ScaleCrop>
  <LinksUpToDate>false</LinksUpToDate>
  <CharactersWithSpaces>15100</CharactersWithSpaces>
  <Application>WPS Office_12.2.0.13538_F1E327BC-269C-435d-A152-05C5408002CA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2020-11-25T07:49:00Z</dcterms:created>
  <dc:creator>Светлана</dc:creator>
  <cp:lastModifiedBy>Светлана Гаврилова</cp:lastModifiedBy>
  <cp:lastPrinted>2022-10-21T11:51:00Z</cp:lastPrinted>
  <dcterms:modified xsi:type="dcterms:W3CDTF">2024-05-08T07:30:35Z</dcterms:modified>
  <dc:title>МЕТОДИЧЕСКИЕ РЕКОМЕНДАЦИИ</dc:title>
  <cp:revision>162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1049-12.2.0.13538</vt:lpwstr>
  </property>
  <property fmtid="{D5CDD505-2E9C-101B-9397-08002B2CF9AE}" pid="3" name="ICV">
    <vt:lpwstr>8B60FDD3225546D1B4171095B06BEBCA</vt:lpwstr>
  </property>
</Properties>
</file>