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52" w:rsidRDefault="002F3E52">
      <w:pPr>
        <w:jc w:val="center"/>
        <w:rPr>
          <w:rFonts w:ascii="Times New Roman" w:hAnsi="Times New Roman" w:cs="Times New Roman"/>
          <w:b/>
          <w:sz w:val="28"/>
        </w:rPr>
      </w:pPr>
    </w:p>
    <w:p w:rsidR="002F3E52" w:rsidRDefault="002F3E52">
      <w:pPr>
        <w:jc w:val="center"/>
        <w:rPr>
          <w:rFonts w:ascii="Times New Roman" w:hAnsi="Times New Roman" w:cs="Times New Roman"/>
          <w:b/>
          <w:sz w:val="28"/>
        </w:rPr>
      </w:pPr>
    </w:p>
    <w:p w:rsidR="00593006" w:rsidRDefault="00E615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Титульный лист: виды страниц титульных листов</w:t>
      </w:r>
      <w:r w:rsidR="0059300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F3E52" w:rsidRDefault="005302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предписанные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источники для библиографического описания</w:t>
      </w:r>
      <w:r w:rsidR="00254224">
        <w:rPr>
          <w:rFonts w:ascii="Times New Roman" w:hAnsi="Times New Roman" w:cs="Times New Roman"/>
          <w:b/>
          <w:sz w:val="28"/>
          <w:szCs w:val="28"/>
        </w:rPr>
        <w:t>.</w:t>
      </w:r>
    </w:p>
    <w:p w:rsidR="002F3E52" w:rsidRDefault="002F3E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E52" w:rsidRDefault="00254224">
      <w:pPr>
        <w:spacing w:after="0"/>
        <w:ind w:firstLineChars="200" w:firstLine="4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496FEB" w:rsidRDefault="00496FEB">
      <w:pPr>
        <w:spacing w:after="0"/>
        <w:ind w:firstLineChars="200" w:firstLine="4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C13" w:rsidRDefault="00AC2C13">
      <w:pPr>
        <w:spacing w:after="0"/>
        <w:ind w:firstLineChars="200" w:firstLine="4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52" w:rsidRDefault="002F3E52">
      <w:pPr>
        <w:spacing w:after="0"/>
        <w:ind w:firstLineChars="200" w:firstLine="4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52" w:rsidRDefault="002F3E52">
      <w:pPr>
        <w:spacing w:after="0"/>
        <w:ind w:firstLineChars="200" w:firstLine="48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C13" w:rsidRDefault="00D46D0C" w:rsidP="00AC2C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F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ГОСТ Р 7.0.3-2006 «Издания. Основные элементы. </w:t>
      </w:r>
    </w:p>
    <w:p w:rsidR="00D46D0C" w:rsidRPr="00496FEB" w:rsidRDefault="00D46D0C" w:rsidP="00AC2C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FEB">
        <w:rPr>
          <w:rFonts w:ascii="Times New Roman" w:hAnsi="Times New Roman" w:cs="Times New Roman"/>
          <w:b/>
          <w:sz w:val="24"/>
          <w:szCs w:val="24"/>
          <w:lang w:eastAsia="ru-RU"/>
        </w:rPr>
        <w:t>Термины и определения»</w:t>
      </w:r>
      <w:r w:rsidR="00AC2C1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(п. 3.2.3</w:t>
      </w:r>
      <w:proofErr w:type="gramStart"/>
      <w:r w:rsidR="00AC2C13">
        <w:rPr>
          <w:rFonts w:ascii="Times New Roman" w:hAnsi="Times New Roman" w:cs="Times New Roman"/>
          <w:b/>
          <w:sz w:val="24"/>
          <w:szCs w:val="24"/>
          <w:lang w:eastAsia="ru-RU"/>
        </w:rPr>
        <w:t>- )</w:t>
      </w:r>
      <w:proofErr w:type="gramEnd"/>
    </w:p>
    <w:p w:rsidR="00FC4F07" w:rsidRDefault="00FC4F07" w:rsidP="00FC4F0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3279" w:rsidRDefault="00773279" w:rsidP="00FC4F0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AAF733D" wp14:editId="07E4B09F">
            <wp:extent cx="2427868" cy="1821912"/>
            <wp:effectExtent l="0" t="0" r="0" b="0"/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949" cy="184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279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8CCCC01" wp14:editId="23BB0341">
            <wp:extent cx="2386760" cy="1788671"/>
            <wp:effectExtent l="0" t="0" r="0" b="0"/>
            <wp:docPr id="14" name="Рисунок 14" descr="Оформление титульного листа книги. Структура издания книги. Титульные элементы книги. Распашной титульный лист. Распашной титульный лист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Оформление титульного листа книги. Структура издания книги. Титульные элементы книги. Распашной титульный лист. Распашной титульный лист книг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94" cy="182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F07" w:rsidRPr="00496FEB" w:rsidRDefault="00AC2C13" w:rsidP="00FC4F0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FC4F07" w:rsidRPr="00D32332">
        <w:rPr>
          <w:rFonts w:ascii="Times New Roman" w:hAnsi="Times New Roman" w:cs="Times New Roman"/>
          <w:b/>
          <w:sz w:val="24"/>
          <w:szCs w:val="24"/>
          <w:lang w:eastAsia="ru-RU"/>
        </w:rPr>
        <w:t>итульный лист</w:t>
      </w:r>
      <w:r w:rsidR="00FC4F07" w:rsidRPr="00496FEB">
        <w:rPr>
          <w:rFonts w:ascii="Times New Roman" w:hAnsi="Times New Roman" w:cs="Times New Roman"/>
          <w:sz w:val="24"/>
          <w:szCs w:val="24"/>
          <w:lang w:eastAsia="ru-RU"/>
        </w:rPr>
        <w:t>: Титульная страница и оборот титула.</w:t>
      </w:r>
    </w:p>
    <w:p w:rsidR="00D46D0C" w:rsidRPr="00496FEB" w:rsidRDefault="00AC2C13" w:rsidP="00496FE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2C13">
        <w:rPr>
          <w:rFonts w:ascii="Times New Roman" w:hAnsi="Times New Roman" w:cs="Times New Roman"/>
          <w:b/>
          <w:sz w:val="24"/>
          <w:szCs w:val="24"/>
          <w:lang w:eastAsia="ru-RU"/>
        </w:rPr>
        <w:t>Т</w:t>
      </w:r>
      <w:r w:rsidR="00D46D0C" w:rsidRPr="00496FEB">
        <w:rPr>
          <w:rFonts w:ascii="Times New Roman" w:hAnsi="Times New Roman" w:cs="Times New Roman"/>
          <w:b/>
          <w:sz w:val="24"/>
          <w:szCs w:val="24"/>
          <w:lang w:eastAsia="ru-RU"/>
        </w:rPr>
        <w:t>итульная страница</w:t>
      </w:r>
      <w:r w:rsidR="00D46D0C" w:rsidRPr="00496FEB">
        <w:rPr>
          <w:rFonts w:ascii="Times New Roman" w:hAnsi="Times New Roman" w:cs="Times New Roman"/>
          <w:sz w:val="24"/>
          <w:szCs w:val="24"/>
          <w:lang w:eastAsia="ru-RU"/>
        </w:rPr>
        <w:t>; титул: Страница издания, на которой размещаются выходные сведения.</w:t>
      </w:r>
    </w:p>
    <w:p w:rsidR="00D46D0C" w:rsidRDefault="00AC2C13" w:rsidP="00496FEB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C2C13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D46D0C" w:rsidRPr="00496FEB">
        <w:rPr>
          <w:rFonts w:ascii="Times New Roman" w:hAnsi="Times New Roman" w:cs="Times New Roman"/>
          <w:b/>
          <w:sz w:val="24"/>
          <w:szCs w:val="24"/>
          <w:lang w:eastAsia="ru-RU"/>
        </w:rPr>
        <w:t>борот титульной страницы</w:t>
      </w:r>
      <w:r w:rsidR="00D46D0C" w:rsidRPr="00496FEB">
        <w:rPr>
          <w:rFonts w:ascii="Times New Roman" w:hAnsi="Times New Roman" w:cs="Times New Roman"/>
          <w:sz w:val="24"/>
          <w:szCs w:val="24"/>
          <w:lang w:eastAsia="ru-RU"/>
        </w:rPr>
        <w:t xml:space="preserve">; оборот титула: Оборотная сторона титульной страницы, на которой размещаются </w:t>
      </w:r>
      <w:r w:rsidR="00D46D0C" w:rsidRPr="00AC2C13">
        <w:rPr>
          <w:rFonts w:ascii="Times New Roman" w:hAnsi="Times New Roman" w:cs="Times New Roman"/>
          <w:sz w:val="24"/>
          <w:szCs w:val="24"/>
          <w:lang w:eastAsia="ru-RU"/>
        </w:rPr>
        <w:t>некоторые элементы выходных сведений.</w:t>
      </w:r>
    </w:p>
    <w:p w:rsidR="00FC4F07" w:rsidRPr="00496FEB" w:rsidRDefault="00FC4F07" w:rsidP="00496FEB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76283" w:rsidRDefault="00AC2C13" w:rsidP="00496FE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2C13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="00D46D0C" w:rsidRPr="00496FEB">
        <w:rPr>
          <w:rFonts w:ascii="Times New Roman" w:hAnsi="Times New Roman" w:cs="Times New Roman"/>
          <w:b/>
          <w:sz w:val="24"/>
          <w:szCs w:val="24"/>
          <w:lang w:eastAsia="ru-RU"/>
        </w:rPr>
        <w:t>вантитул</w:t>
      </w:r>
      <w:r w:rsidR="00D46D0C" w:rsidRPr="00496FEB">
        <w:rPr>
          <w:rFonts w:ascii="Times New Roman" w:hAnsi="Times New Roman" w:cs="Times New Roman"/>
          <w:sz w:val="24"/>
          <w:szCs w:val="24"/>
          <w:lang w:eastAsia="ru-RU"/>
        </w:rPr>
        <w:t>; "выходной лист"; </w:t>
      </w:r>
      <w:proofErr w:type="spellStart"/>
      <w:r w:rsidR="00D46D0C" w:rsidRPr="00496FEB">
        <w:rPr>
          <w:rFonts w:ascii="Times New Roman" w:hAnsi="Times New Roman" w:cs="Times New Roman"/>
          <w:sz w:val="24"/>
          <w:szCs w:val="24"/>
          <w:lang w:eastAsia="ru-RU"/>
        </w:rPr>
        <w:t>фортитул</w:t>
      </w:r>
      <w:proofErr w:type="spellEnd"/>
      <w:r w:rsidR="00D46D0C" w:rsidRPr="00496FEB">
        <w:rPr>
          <w:rFonts w:ascii="Times New Roman" w:hAnsi="Times New Roman" w:cs="Times New Roman"/>
          <w:sz w:val="24"/>
          <w:szCs w:val="24"/>
          <w:lang w:eastAsia="ru-RU"/>
        </w:rPr>
        <w:t xml:space="preserve">: Первая страница издания, расположенная перед титульной страницей и содержащая обычно издательскую марку, эпиграф, посвящение, </w:t>
      </w:r>
      <w:proofErr w:type="spellStart"/>
      <w:r w:rsidR="00D46D0C" w:rsidRPr="00496FEB">
        <w:rPr>
          <w:rFonts w:ascii="Times New Roman" w:hAnsi="Times New Roman" w:cs="Times New Roman"/>
          <w:sz w:val="24"/>
          <w:szCs w:val="24"/>
          <w:lang w:eastAsia="ru-RU"/>
        </w:rPr>
        <w:t>надзаголовочные</w:t>
      </w:r>
      <w:proofErr w:type="spellEnd"/>
      <w:r w:rsidR="00D46D0C" w:rsidRPr="00496FEB">
        <w:rPr>
          <w:rFonts w:ascii="Times New Roman" w:hAnsi="Times New Roman" w:cs="Times New Roman"/>
          <w:sz w:val="24"/>
          <w:szCs w:val="24"/>
          <w:lang w:eastAsia="ru-RU"/>
        </w:rPr>
        <w:t xml:space="preserve"> данные, выходные данные.</w:t>
      </w:r>
    </w:p>
    <w:p w:rsidR="00530256" w:rsidRPr="00496FEB" w:rsidRDefault="00AC2C13" w:rsidP="00AC2C1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 w:rsidRPr="00D32332">
        <w:rPr>
          <w:rFonts w:ascii="Times New Roman" w:hAnsi="Times New Roman" w:cs="Times New Roman"/>
          <w:b/>
          <w:sz w:val="24"/>
          <w:szCs w:val="24"/>
          <w:lang w:eastAsia="ru-RU"/>
        </w:rPr>
        <w:t>онтртитул</w:t>
      </w:r>
      <w:r w:rsidRPr="00496FEB">
        <w:rPr>
          <w:rFonts w:ascii="Times New Roman" w:hAnsi="Times New Roman" w:cs="Times New Roman"/>
          <w:sz w:val="24"/>
          <w:szCs w:val="24"/>
          <w:lang w:eastAsia="ru-RU"/>
        </w:rPr>
        <w:t>: Левая страница разворотного титульного листа, на которой приводятся сведения об издании в целом или воспроизводится титульный лист издания, послужившего оригиналом для перевода.</w:t>
      </w:r>
    </w:p>
    <w:p w:rsidR="00773279" w:rsidRDefault="00AC2C13" w:rsidP="00AC2C1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 w:rsidRPr="00496FEB">
        <w:rPr>
          <w:rFonts w:ascii="Times New Roman" w:hAnsi="Times New Roman" w:cs="Times New Roman"/>
          <w:b/>
          <w:sz w:val="24"/>
          <w:szCs w:val="24"/>
          <w:lang w:eastAsia="ru-RU"/>
        </w:rPr>
        <w:t>онцевая</w:t>
      </w:r>
      <w:r w:rsidRPr="00496FE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2C13">
        <w:rPr>
          <w:rFonts w:ascii="Times New Roman" w:hAnsi="Times New Roman" w:cs="Times New Roman"/>
          <w:b/>
          <w:sz w:val="24"/>
          <w:szCs w:val="24"/>
          <w:lang w:eastAsia="ru-RU"/>
        </w:rPr>
        <w:t>титульная страница</w:t>
      </w:r>
      <w:r w:rsidRPr="00496FEB">
        <w:rPr>
          <w:rFonts w:ascii="Times New Roman" w:hAnsi="Times New Roman" w:cs="Times New Roman"/>
          <w:sz w:val="24"/>
          <w:szCs w:val="24"/>
          <w:lang w:eastAsia="ru-RU"/>
        </w:rPr>
        <w:t>; </w:t>
      </w:r>
      <w:proofErr w:type="spellStart"/>
      <w:r w:rsidRPr="00496FEB">
        <w:rPr>
          <w:rFonts w:ascii="Times New Roman" w:hAnsi="Times New Roman" w:cs="Times New Roman"/>
          <w:sz w:val="24"/>
          <w:szCs w:val="24"/>
          <w:lang w:eastAsia="ru-RU"/>
        </w:rPr>
        <w:t>колофон</w:t>
      </w:r>
      <w:proofErr w:type="spellEnd"/>
      <w:r w:rsidRPr="00496FEB">
        <w:rPr>
          <w:rFonts w:ascii="Times New Roman" w:hAnsi="Times New Roman" w:cs="Times New Roman"/>
          <w:sz w:val="24"/>
          <w:szCs w:val="24"/>
          <w:lang w:eastAsia="ru-RU"/>
        </w:rPr>
        <w:t>: Последняя страница издания с его выпускными данными.</w:t>
      </w:r>
    </w:p>
    <w:p w:rsidR="00773279" w:rsidRDefault="00773279" w:rsidP="00AC2C1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3279" w:rsidRDefault="00773279" w:rsidP="00AC2C1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C13" w:rsidRDefault="00AC2C13" w:rsidP="00AC2C1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Ш</w:t>
      </w:r>
      <w:r w:rsidRPr="00496FEB">
        <w:rPr>
          <w:rFonts w:ascii="Times New Roman" w:hAnsi="Times New Roman" w:cs="Times New Roman"/>
          <w:b/>
          <w:sz w:val="24"/>
          <w:szCs w:val="24"/>
          <w:lang w:eastAsia="ru-RU"/>
        </w:rPr>
        <w:t>муцтитул</w:t>
      </w:r>
      <w:r w:rsidRPr="00496FEB">
        <w:rPr>
          <w:rFonts w:ascii="Times New Roman" w:hAnsi="Times New Roman" w:cs="Times New Roman"/>
          <w:sz w:val="24"/>
          <w:szCs w:val="24"/>
          <w:lang w:eastAsia="ru-RU"/>
        </w:rPr>
        <w:t>; добавочный титул: Структурный элемент издания, представляющий собой отдельный лист или страницу с заглавием произведения или крупных рубрик, эпиграфами, иллюстрациями, книжными украшениями.</w:t>
      </w:r>
    </w:p>
    <w:p w:rsidR="0060371A" w:rsidRPr="00AC2C13" w:rsidRDefault="0060371A" w:rsidP="006037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AC2C13">
        <w:rPr>
          <w:rFonts w:ascii="Times New Roman" w:hAnsi="Times New Roman" w:cs="Times New Roman"/>
          <w:b/>
          <w:sz w:val="24"/>
          <w:szCs w:val="24"/>
        </w:rPr>
        <w:t>араллельный титульный лист</w:t>
      </w:r>
      <w:r w:rsidRPr="00AC2C13">
        <w:rPr>
          <w:rFonts w:ascii="Times New Roman" w:hAnsi="Times New Roman" w:cs="Times New Roman"/>
          <w:sz w:val="24"/>
          <w:szCs w:val="24"/>
        </w:rPr>
        <w:t>: Дополнительный титульный лист с выходными сведениями, повторенными на языке, отличном от языка основного текста издания.</w:t>
      </w:r>
    </w:p>
    <w:p w:rsidR="0060371A" w:rsidRPr="00496FEB" w:rsidRDefault="0060371A" w:rsidP="0060371A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C2C13">
        <w:rPr>
          <w:rFonts w:ascii="Times New Roman" w:hAnsi="Times New Roman" w:cs="Times New Roman"/>
          <w:sz w:val="24"/>
          <w:szCs w:val="24"/>
        </w:rPr>
        <w:t>Примечание - В многоязычном издании: каждый титульный лист с выходными сведениями, повторенными на одном из языков основного текста издания.</w:t>
      </w:r>
    </w:p>
    <w:p w:rsidR="00AC2C13" w:rsidRDefault="00AC2C13" w:rsidP="00496FE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6D0C" w:rsidRPr="00496FEB" w:rsidRDefault="00AC2C13" w:rsidP="00496FE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</w:rPr>
      </w:pPr>
      <w:r w:rsidRPr="00AC2C13">
        <w:rPr>
          <w:rFonts w:eastAsiaTheme="minorHAnsi"/>
          <w:b/>
        </w:rPr>
        <w:t>Д</w:t>
      </w:r>
      <w:r w:rsidR="00D46D0C" w:rsidRPr="00D32332">
        <w:rPr>
          <w:rFonts w:eastAsiaTheme="minorHAnsi"/>
          <w:b/>
        </w:rPr>
        <w:t>войной титульный лист</w:t>
      </w:r>
      <w:r w:rsidR="00D46D0C" w:rsidRPr="00496FEB">
        <w:rPr>
          <w:rFonts w:eastAsiaTheme="minorHAnsi"/>
        </w:rPr>
        <w:t>: Титульный лист, размещенный на развороте.</w:t>
      </w:r>
      <w:r w:rsidR="00D46D0C" w:rsidRPr="00496FEB">
        <w:rPr>
          <w:rFonts w:eastAsiaTheme="minorHAnsi"/>
        </w:rPr>
        <w:br/>
      </w:r>
    </w:p>
    <w:p w:rsidR="00AC2C13" w:rsidRDefault="00AC2C13" w:rsidP="00496FE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</w:rPr>
      </w:pPr>
      <w:r>
        <w:rPr>
          <w:rFonts w:eastAsiaTheme="minorHAnsi"/>
          <w:b/>
        </w:rPr>
        <w:t>Р</w:t>
      </w:r>
      <w:r w:rsidR="00D46D0C" w:rsidRPr="00D32332">
        <w:rPr>
          <w:rFonts w:eastAsiaTheme="minorHAnsi"/>
          <w:b/>
        </w:rPr>
        <w:t>азворотный титульный лист</w:t>
      </w:r>
      <w:r w:rsidR="00D46D0C" w:rsidRPr="00496FEB">
        <w:rPr>
          <w:rFonts w:eastAsiaTheme="minorHAnsi"/>
        </w:rPr>
        <w:t>: Двойной титульный лист, на каждой из двух страниц которого располагается определенная группа выходных сведений.</w:t>
      </w:r>
    </w:p>
    <w:p w:rsidR="00AC2C13" w:rsidRPr="00496FEB" w:rsidRDefault="00AC2C13" w:rsidP="00496FE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</w:rPr>
      </w:pPr>
    </w:p>
    <w:p w:rsidR="00AC2C13" w:rsidRDefault="00AC2C13" w:rsidP="00AC2C13">
      <w:pPr>
        <w:jc w:val="both"/>
        <w:rPr>
          <w:rFonts w:ascii="Times New Roman" w:hAnsi="Times New Roman" w:cs="Times New Roman"/>
          <w:sz w:val="24"/>
        </w:rPr>
      </w:pPr>
      <w:r w:rsidRPr="00AC2C13">
        <w:rPr>
          <w:rFonts w:ascii="Times New Roman" w:hAnsi="Times New Roman" w:cs="Times New Roman"/>
          <w:b/>
          <w:sz w:val="24"/>
        </w:rPr>
        <w:t>Основная титульная страница</w:t>
      </w:r>
      <w:r w:rsidRPr="00AC2C13">
        <w:rPr>
          <w:rFonts w:ascii="Times New Roman" w:hAnsi="Times New Roman" w:cs="Times New Roman"/>
          <w:sz w:val="24"/>
        </w:rPr>
        <w:t>: Лицевая сторона титульного листа или правая сторона разворотного титульного листа, содержащая все наиболее существенные для издания или его части выходные сведения.</w:t>
      </w:r>
    </w:p>
    <w:p w:rsidR="0060371A" w:rsidRPr="00496FEB" w:rsidRDefault="0060371A" w:rsidP="0060371A">
      <w:pPr>
        <w:jc w:val="both"/>
      </w:pPr>
      <w:r w:rsidRPr="0060371A">
        <w:rPr>
          <w:rFonts w:ascii="Times New Roman" w:hAnsi="Times New Roman" w:cs="Times New Roman"/>
          <w:b/>
          <w:sz w:val="24"/>
          <w:szCs w:val="24"/>
        </w:rPr>
        <w:t>Р</w:t>
      </w:r>
      <w:r w:rsidR="00D46D0C" w:rsidRPr="00AC2C13">
        <w:rPr>
          <w:rFonts w:ascii="Times New Roman" w:hAnsi="Times New Roman" w:cs="Times New Roman"/>
          <w:b/>
          <w:sz w:val="24"/>
          <w:szCs w:val="24"/>
        </w:rPr>
        <w:t>аспашной титульный лист</w:t>
      </w:r>
      <w:r w:rsidR="00D46D0C" w:rsidRPr="00AC2C13">
        <w:rPr>
          <w:rFonts w:ascii="Times New Roman" w:hAnsi="Times New Roman" w:cs="Times New Roman"/>
          <w:sz w:val="24"/>
          <w:szCs w:val="24"/>
        </w:rPr>
        <w:t>: Двойной титульный лист, композиционно составляющий единое целое, где текстовые и/или изобразительные элементы начинаются на левой странице разворота, а заканчиваются на правой.</w:t>
      </w:r>
      <w:r w:rsidR="00D46D0C" w:rsidRPr="00AC2C13">
        <w:rPr>
          <w:rFonts w:ascii="Times New Roman" w:hAnsi="Times New Roman" w:cs="Times New Roman"/>
          <w:sz w:val="24"/>
          <w:szCs w:val="24"/>
        </w:rPr>
        <w:br/>
      </w:r>
      <w:r w:rsidR="00D46D0C" w:rsidRPr="00AC2C13">
        <w:rPr>
          <w:rFonts w:ascii="Times New Roman" w:hAnsi="Times New Roman" w:cs="Times New Roman"/>
          <w:sz w:val="24"/>
          <w:szCs w:val="24"/>
        </w:rPr>
        <w:br/>
      </w:r>
    </w:p>
    <w:p w:rsidR="00813EAC" w:rsidRDefault="00D46D0C" w:rsidP="00813EAC">
      <w:pPr>
        <w:pStyle w:val="futurismarkdown-paragraph"/>
        <w:shd w:val="clear" w:color="auto" w:fill="FFFFFF"/>
        <w:spacing w:before="0" w:beforeAutospacing="0" w:after="0" w:afterAutospacing="0" w:line="330" w:lineRule="atLeast"/>
        <w:jc w:val="center"/>
        <w:rPr>
          <w:rFonts w:eastAsiaTheme="minorHAnsi"/>
          <w:lang w:eastAsia="en-US"/>
        </w:rPr>
      </w:pPr>
      <w:r w:rsidRPr="00496FEB">
        <w:rPr>
          <w:rFonts w:eastAsiaTheme="minorHAnsi"/>
        </w:rPr>
        <w:br/>
      </w:r>
      <w:r w:rsidRPr="00496FEB">
        <w:rPr>
          <w:rFonts w:eastAsiaTheme="minorHAnsi"/>
        </w:rPr>
        <w:br/>
      </w:r>
      <w:r w:rsidR="00813EAC" w:rsidRPr="00813EAC">
        <w:rPr>
          <w:rFonts w:eastAsiaTheme="minorHAnsi"/>
          <w:b/>
          <w:bCs/>
          <w:lang w:eastAsia="en-US"/>
        </w:rPr>
        <w:t>Разворотный титульный лист</w:t>
      </w:r>
      <w:r w:rsidR="0021682B">
        <w:rPr>
          <w:rStyle w:val="a3"/>
          <w:rFonts w:eastAsiaTheme="minorHAnsi"/>
          <w:b/>
          <w:bCs/>
          <w:lang w:eastAsia="en-US"/>
        </w:rPr>
        <w:footnoteReference w:id="1"/>
      </w:r>
    </w:p>
    <w:p w:rsidR="00813EAC" w:rsidRDefault="00813EAC" w:rsidP="00813EAC">
      <w:pPr>
        <w:pStyle w:val="futurismarkdown-paragraph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основном </w:t>
      </w:r>
      <w:r w:rsidRPr="00813EAC">
        <w:rPr>
          <w:rFonts w:eastAsiaTheme="minorHAnsi"/>
          <w:lang w:eastAsia="en-US"/>
        </w:rPr>
        <w:t>используется в многотомных и серийных изданиях. Располагается на двух смежных страницах книжного разворота.</w:t>
      </w:r>
    </w:p>
    <w:p w:rsidR="006C5D64" w:rsidRDefault="006C5D64" w:rsidP="00813EAC">
      <w:pPr>
        <w:pStyle w:val="futurismarkdown-paragraph"/>
        <w:shd w:val="clear" w:color="auto" w:fill="FFFFFF"/>
        <w:spacing w:before="0" w:beforeAutospacing="0" w:after="0" w:afterAutospacing="0" w:line="330" w:lineRule="atLeast"/>
        <w:ind w:firstLine="709"/>
        <w:jc w:val="both"/>
      </w:pPr>
      <w:r>
        <w:t xml:space="preserve">Разворотный титульный лист состоит, как правило, из четырех страниц: авантитула, контртитула, основной титульной страницы и оборота титульного листа. </w:t>
      </w:r>
    </w:p>
    <w:p w:rsidR="00813EAC" w:rsidRDefault="006C5D64" w:rsidP="00813EAC">
      <w:pPr>
        <w:pStyle w:val="futurismarkdown-paragraph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eastAsiaTheme="minorHAnsi"/>
          <w:lang w:eastAsia="en-US"/>
        </w:rPr>
      </w:pPr>
      <w:r w:rsidRPr="006C5D64">
        <w:rPr>
          <w:b/>
        </w:rPr>
        <w:t>Авантитул</w:t>
      </w:r>
      <w:r>
        <w:t xml:space="preserve"> – первая страница разворотного титульного листа, содержащая часть выходных сведений.</w:t>
      </w:r>
      <w:r w:rsidRPr="00813EAC">
        <w:rPr>
          <w:rFonts w:eastAsiaTheme="minorHAnsi"/>
          <w:bCs/>
          <w:lang w:eastAsia="en-US"/>
        </w:rPr>
        <w:t xml:space="preserve"> </w:t>
      </w:r>
      <w:r w:rsidRPr="006C5D64">
        <w:rPr>
          <w:b/>
        </w:rPr>
        <w:t>Контртитул</w:t>
      </w:r>
      <w:r>
        <w:t xml:space="preserve"> – левая страница, противолежащая основной титульной странице, содержащая сведения, совпадающие с помещенными на основной титульной странице или дополняющие их, чем-либо отличающиеся от них.</w:t>
      </w:r>
      <w:r w:rsidRPr="00813EAC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Здесь</w:t>
      </w:r>
      <w:r w:rsidR="00813EAC" w:rsidRPr="00813EAC">
        <w:rPr>
          <w:rFonts w:eastAsiaTheme="minorHAnsi"/>
          <w:lang w:eastAsia="en-US"/>
        </w:rPr>
        <w:t xml:space="preserve"> размещаются сведения, относящиеся ко всему изданию или ко всей серии в целом. </w:t>
      </w:r>
      <w:r w:rsidR="00813EAC" w:rsidRPr="00813EAC">
        <w:rPr>
          <w:rFonts w:eastAsiaTheme="minorHAnsi"/>
          <w:bCs/>
          <w:lang w:eastAsia="en-US"/>
        </w:rPr>
        <w:t>На правой странице</w:t>
      </w:r>
      <w:r w:rsidR="00813EAC" w:rsidRPr="00813EAC">
        <w:rPr>
          <w:rFonts w:eastAsiaTheme="minorHAnsi"/>
          <w:lang w:eastAsia="en-US"/>
        </w:rPr>
        <w:t> </w:t>
      </w:r>
      <w:r w:rsidR="00813EAC" w:rsidRPr="00813EAC">
        <w:rPr>
          <w:rFonts w:eastAsiaTheme="minorHAnsi"/>
          <w:b/>
          <w:lang w:eastAsia="en-US"/>
        </w:rPr>
        <w:t>(основном титуле</w:t>
      </w:r>
      <w:r w:rsidR="00813EAC" w:rsidRPr="00813EAC">
        <w:rPr>
          <w:rFonts w:eastAsiaTheme="minorHAnsi"/>
          <w:lang w:eastAsia="en-US"/>
        </w:rPr>
        <w:t xml:space="preserve">) — </w:t>
      </w:r>
      <w:r>
        <w:rPr>
          <w:rFonts w:eastAsiaTheme="minorHAnsi"/>
          <w:lang w:eastAsia="en-US"/>
        </w:rPr>
        <w:t xml:space="preserve">размещаются сведения, </w:t>
      </w:r>
      <w:r w:rsidR="00813EAC" w:rsidRPr="00813EAC">
        <w:rPr>
          <w:rFonts w:eastAsiaTheme="minorHAnsi"/>
          <w:lang w:eastAsia="en-US"/>
        </w:rPr>
        <w:t>относящиеся к данному тому или данной книге.</w:t>
      </w:r>
    </w:p>
    <w:p w:rsidR="00F76414" w:rsidRDefault="00813EAC" w:rsidP="00F76414">
      <w:pPr>
        <w:pStyle w:val="futurismarkdown-paragraph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eastAsiaTheme="minorHAnsi"/>
          <w:lang w:eastAsia="en-US"/>
        </w:rPr>
      </w:pPr>
      <w:r w:rsidRPr="00813EAC">
        <w:rPr>
          <w:rFonts w:eastAsiaTheme="minorHAnsi"/>
          <w:lang w:eastAsia="en-US"/>
        </w:rPr>
        <w:t>Если титул данного типа используется в переводном издании, слева на развороте помещается титульный лист на языке подлинника, справа — на языке перевода.</w:t>
      </w:r>
    </w:p>
    <w:p w:rsidR="00F76414" w:rsidRDefault="00F76414" w:rsidP="00F76414">
      <w:pPr>
        <w:pStyle w:val="futurismarkdown-paragraph"/>
        <w:shd w:val="clear" w:color="auto" w:fill="FFFFFF"/>
        <w:spacing w:before="0" w:beforeAutospacing="0" w:after="0" w:afterAutospacing="0" w:line="330" w:lineRule="atLeast"/>
        <w:ind w:firstLine="709"/>
        <w:jc w:val="both"/>
      </w:pPr>
      <w:r>
        <w:lastRenderedPageBreak/>
        <w:t>Элементы разворотного титульного листа используют в следующей последовательности: основная титульная страница, контртитул, авантитул, оборот титульного листа.</w:t>
      </w:r>
    </w:p>
    <w:p w:rsidR="004F4C47" w:rsidRDefault="004F4C47" w:rsidP="00813EAC">
      <w:pPr>
        <w:pStyle w:val="futurismarkdown-paragraph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eastAsiaTheme="minorHAnsi"/>
          <w:lang w:eastAsia="en-US"/>
        </w:rPr>
      </w:pPr>
    </w:p>
    <w:p w:rsidR="00C76283" w:rsidRDefault="004F4C47" w:rsidP="004F4C47">
      <w:pPr>
        <w:pStyle w:val="futurismarkdown-paragraph"/>
        <w:shd w:val="clear" w:color="auto" w:fill="FFFFFF"/>
        <w:spacing w:before="0" w:beforeAutospacing="0" w:after="0" w:afterAutospacing="0" w:line="330" w:lineRule="atLeast"/>
        <w:jc w:val="both"/>
        <w:rPr>
          <w:rFonts w:eastAsiaTheme="minorHAnsi"/>
          <w:lang w:eastAsia="en-US"/>
        </w:rPr>
      </w:pPr>
      <w:r>
        <w:rPr>
          <w:noProof/>
        </w:rPr>
        <w:drawing>
          <wp:inline distT="0" distB="0" distL="0" distR="0" wp14:anchorId="029757F6" wp14:editId="031621F5">
            <wp:extent cx="2194560" cy="1629323"/>
            <wp:effectExtent l="0" t="0" r="0" b="0"/>
            <wp:docPr id="1" name="Рисунок 1" descr="Разворотный тит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оротный титул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75" cy="166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C47" w:rsidRDefault="004F4C47" w:rsidP="00C76283">
      <w:pPr>
        <w:pStyle w:val="futurismarkdown-paragraph"/>
        <w:shd w:val="clear" w:color="auto" w:fill="FFFFFF"/>
        <w:spacing w:before="0" w:beforeAutospacing="0" w:after="0" w:afterAutospacing="0" w:line="330" w:lineRule="atLeast"/>
        <w:jc w:val="both"/>
        <w:rPr>
          <w:rFonts w:eastAsiaTheme="minorHAnsi"/>
          <w:lang w:eastAsia="en-US"/>
        </w:rPr>
      </w:pPr>
    </w:p>
    <w:p w:rsidR="009432FA" w:rsidRDefault="009432FA" w:rsidP="00C76283">
      <w:pPr>
        <w:pStyle w:val="futurismarkdown-paragraph"/>
        <w:shd w:val="clear" w:color="auto" w:fill="FFFFFF"/>
        <w:spacing w:before="0" w:beforeAutospacing="0" w:after="0" w:afterAutospacing="0" w:line="330" w:lineRule="atLeast"/>
        <w:jc w:val="both"/>
        <w:rPr>
          <w:rFonts w:eastAsiaTheme="minorHAnsi"/>
          <w:lang w:eastAsia="en-US"/>
        </w:rPr>
      </w:pPr>
      <w:r>
        <w:rPr>
          <w:noProof/>
        </w:rPr>
        <w:drawing>
          <wp:inline distT="0" distB="0" distL="0" distR="0">
            <wp:extent cx="2340864" cy="1756623"/>
            <wp:effectExtent l="0" t="0" r="0" b="0"/>
            <wp:docPr id="11" name="Рисунок 11" descr="Оформление титульного листа книги. Авантитул контртитул титул оборот титула. Выходные сведения книги. Контртитул книги это. Разворотный титульный ли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Оформление титульного листа книги. Авантитул контртитул титул оборот титула. Выходные сведения книги. Контртитул книги это. Разворотный титульный лис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669" cy="177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40864" cy="1756624"/>
            <wp:effectExtent l="0" t="0" r="0" b="0"/>
            <wp:docPr id="13" name="Рисунок 13" descr="Оформление титульного лист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Оформление титульного листа книги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127" cy="17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2FA" w:rsidRDefault="009432FA" w:rsidP="00C76283">
      <w:pPr>
        <w:pStyle w:val="futurismarkdown-paragraph"/>
        <w:shd w:val="clear" w:color="auto" w:fill="FFFFFF"/>
        <w:spacing w:before="0" w:beforeAutospacing="0" w:after="0" w:afterAutospacing="0" w:line="330" w:lineRule="atLeast"/>
        <w:jc w:val="both"/>
        <w:rPr>
          <w:rFonts w:eastAsiaTheme="minorHAnsi"/>
          <w:lang w:eastAsia="en-US"/>
        </w:rPr>
      </w:pPr>
    </w:p>
    <w:p w:rsidR="004F4C47" w:rsidRDefault="004F4C47" w:rsidP="00813EAC">
      <w:pPr>
        <w:pStyle w:val="futurismarkdown-paragraph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eastAsiaTheme="minorHAnsi"/>
          <w:lang w:eastAsia="en-US"/>
        </w:rPr>
      </w:pPr>
    </w:p>
    <w:p w:rsidR="004F4C47" w:rsidRDefault="004F4C47" w:rsidP="00813EAC">
      <w:pPr>
        <w:pStyle w:val="futurismarkdown-paragraph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eastAsiaTheme="minorHAnsi"/>
          <w:lang w:eastAsia="en-US"/>
        </w:rPr>
      </w:pPr>
    </w:p>
    <w:p w:rsidR="006B392B" w:rsidRDefault="006B392B" w:rsidP="006B392B">
      <w:pPr>
        <w:pStyle w:val="futurismarkdown-paragraph"/>
        <w:shd w:val="clear" w:color="auto" w:fill="FFFFFF"/>
        <w:spacing w:before="0" w:beforeAutospacing="0" w:after="0" w:afterAutospacing="0" w:line="330" w:lineRule="atLeast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Р</w:t>
      </w:r>
      <w:r w:rsidR="004F4C47" w:rsidRPr="004F4C47">
        <w:rPr>
          <w:rFonts w:eastAsiaTheme="minorHAnsi"/>
          <w:b/>
          <w:bCs/>
          <w:lang w:eastAsia="en-US"/>
        </w:rPr>
        <w:t>аспашной</w:t>
      </w:r>
      <w:r>
        <w:rPr>
          <w:rFonts w:eastAsiaTheme="minorHAnsi"/>
          <w:b/>
          <w:bCs/>
          <w:lang w:eastAsia="en-US"/>
        </w:rPr>
        <w:t xml:space="preserve"> </w:t>
      </w:r>
      <w:r w:rsidRPr="00813EAC">
        <w:rPr>
          <w:rFonts w:eastAsiaTheme="minorHAnsi"/>
          <w:b/>
          <w:bCs/>
          <w:lang w:eastAsia="en-US"/>
        </w:rPr>
        <w:t>титульный лист</w:t>
      </w:r>
    </w:p>
    <w:p w:rsidR="004F4C47" w:rsidRPr="006B392B" w:rsidRDefault="006B392B" w:rsidP="006B392B">
      <w:pPr>
        <w:pStyle w:val="futurismarkdown-paragraph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</w:t>
      </w:r>
      <w:r w:rsidR="004F4C47" w:rsidRPr="004F4C47">
        <w:rPr>
          <w:rFonts w:eastAsiaTheme="minorHAnsi"/>
          <w:lang w:eastAsia="en-US"/>
        </w:rPr>
        <w:t>анимает две смежные страницы книжного разворота, но, в отличие от разворотного, представляет собой в графическом отношении единую плоскость: текст и другие графические элементы на левой странице разворота не повторяются на правой.</w:t>
      </w:r>
    </w:p>
    <w:p w:rsidR="004F4C47" w:rsidRPr="004F4C47" w:rsidRDefault="004F4C47" w:rsidP="006B392B">
      <w:pPr>
        <w:pStyle w:val="futurismarkdown-paragraph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rFonts w:eastAsiaTheme="minorHAnsi"/>
          <w:lang w:eastAsia="en-US"/>
        </w:rPr>
      </w:pPr>
    </w:p>
    <w:p w:rsidR="00813EAC" w:rsidRDefault="00813EAC" w:rsidP="004F4C47">
      <w:pPr>
        <w:pStyle w:val="futurismarkdown-paragraph"/>
        <w:shd w:val="clear" w:color="auto" w:fill="FFFFFF"/>
        <w:spacing w:before="0" w:beforeAutospacing="0" w:after="0" w:afterAutospacing="0" w:line="330" w:lineRule="atLeast"/>
        <w:jc w:val="both"/>
        <w:rPr>
          <w:rFonts w:eastAsiaTheme="minorHAnsi"/>
          <w:lang w:eastAsia="en-US"/>
        </w:rPr>
      </w:pPr>
      <w:r w:rsidRPr="00813EAC">
        <w:rPr>
          <w:rFonts w:eastAsiaTheme="minorHAnsi"/>
          <w:lang w:eastAsia="en-US"/>
        </w:rPr>
        <w:t xml:space="preserve"> </w:t>
      </w:r>
      <w:r w:rsidR="004F4C47">
        <w:rPr>
          <w:noProof/>
        </w:rPr>
        <w:drawing>
          <wp:inline distT="0" distB="0" distL="0" distR="0">
            <wp:extent cx="2243326" cy="1682496"/>
            <wp:effectExtent l="0" t="0" r="0" b="0"/>
            <wp:docPr id="2" name="Рисунок 2" descr="Распашной тит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спашной титул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657" cy="170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2FA" w:rsidRDefault="009432FA" w:rsidP="004F4C47">
      <w:pPr>
        <w:pStyle w:val="futurismarkdown-paragraph"/>
        <w:shd w:val="clear" w:color="auto" w:fill="FFFFFF"/>
        <w:spacing w:before="0" w:beforeAutospacing="0" w:after="0" w:afterAutospacing="0" w:line="330" w:lineRule="atLeast"/>
        <w:jc w:val="both"/>
        <w:rPr>
          <w:rFonts w:eastAsiaTheme="minorHAnsi"/>
          <w:lang w:eastAsia="en-US"/>
        </w:rPr>
      </w:pPr>
    </w:p>
    <w:p w:rsidR="009432FA" w:rsidRPr="00496FEB" w:rsidRDefault="009432FA" w:rsidP="006B392B">
      <w:pPr>
        <w:pStyle w:val="futurismarkdown-paragraph"/>
        <w:shd w:val="clear" w:color="auto" w:fill="FFFFFF"/>
        <w:spacing w:before="0" w:beforeAutospacing="0" w:after="0" w:afterAutospacing="0" w:line="330" w:lineRule="atLeast"/>
        <w:jc w:val="both"/>
        <w:rPr>
          <w:rFonts w:eastAsiaTheme="minorHAnsi"/>
          <w:lang w:eastAsia="en-US"/>
        </w:rPr>
      </w:pPr>
      <w:r>
        <w:rPr>
          <w:noProof/>
        </w:rPr>
        <w:lastRenderedPageBreak/>
        <w:drawing>
          <wp:inline distT="0" distB="0" distL="0" distR="0">
            <wp:extent cx="2494483" cy="1869614"/>
            <wp:effectExtent l="0" t="0" r="0" b="0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115" cy="188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94483" cy="1869615"/>
            <wp:effectExtent l="0" t="0" r="0" b="0"/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56" cy="189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D0C" w:rsidRDefault="00D46D0C" w:rsidP="00813E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5B6" w:rsidRPr="007475B6" w:rsidRDefault="007475B6" w:rsidP="007475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5B6">
        <w:rPr>
          <w:rFonts w:ascii="Times New Roman" w:hAnsi="Times New Roman" w:cs="Times New Roman"/>
          <w:b/>
          <w:bCs/>
          <w:sz w:val="24"/>
          <w:szCs w:val="24"/>
        </w:rPr>
        <w:t>Предписанные источники для библиографического описания</w:t>
      </w:r>
    </w:p>
    <w:p w:rsidR="0044267E" w:rsidRDefault="002E493A" w:rsidP="0044267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</w:t>
      </w:r>
      <w:r w:rsidR="00D913DD" w:rsidRPr="002E493A">
        <w:rPr>
          <w:rFonts w:ascii="Times New Roman" w:hAnsi="Times New Roman" w:cs="Times New Roman"/>
          <w:sz w:val="24"/>
          <w:szCs w:val="24"/>
        </w:rPr>
        <w:t>редписанн</w:t>
      </w:r>
      <w:r>
        <w:rPr>
          <w:rFonts w:ascii="Times New Roman" w:hAnsi="Times New Roman" w:cs="Times New Roman"/>
          <w:sz w:val="24"/>
          <w:szCs w:val="24"/>
        </w:rPr>
        <w:t>ым источником</w:t>
      </w:r>
      <w:r w:rsidR="00D913DD" w:rsidRPr="002E4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Pr="002E493A">
        <w:rPr>
          <w:rFonts w:ascii="Times New Roman" w:hAnsi="Times New Roman" w:cs="Times New Roman"/>
          <w:sz w:val="24"/>
          <w:szCs w:val="24"/>
        </w:rPr>
        <w:t xml:space="preserve">для печатных книжных и журнальных изданий (текстовых, нотных, картографических, изобразительных)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E493A">
        <w:rPr>
          <w:rFonts w:ascii="Times New Roman" w:hAnsi="Times New Roman" w:cs="Times New Roman"/>
          <w:sz w:val="24"/>
          <w:szCs w:val="24"/>
        </w:rPr>
        <w:t>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E493A">
        <w:rPr>
          <w:rFonts w:ascii="Times New Roman" w:hAnsi="Times New Roman" w:cs="Times New Roman"/>
          <w:sz w:val="24"/>
          <w:szCs w:val="24"/>
        </w:rPr>
        <w:t>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93A">
        <w:rPr>
          <w:rFonts w:ascii="Times New Roman" w:hAnsi="Times New Roman" w:cs="Times New Roman"/>
          <w:sz w:val="24"/>
          <w:szCs w:val="24"/>
        </w:rPr>
        <w:t>титульный лист</w:t>
      </w:r>
      <w:r>
        <w:rPr>
          <w:rFonts w:ascii="Times New Roman" w:hAnsi="Times New Roman" w:cs="Times New Roman"/>
          <w:sz w:val="24"/>
          <w:szCs w:val="24"/>
        </w:rPr>
        <w:t xml:space="preserve"> (титульная страница, оборот титульного листа)</w:t>
      </w:r>
      <w:r w:rsidRPr="002E493A">
        <w:rPr>
          <w:rFonts w:ascii="Times New Roman" w:hAnsi="Times New Roman" w:cs="Times New Roman"/>
          <w:sz w:val="24"/>
          <w:szCs w:val="24"/>
        </w:rPr>
        <w:t xml:space="preserve"> или элемент издания, заменяю</w:t>
      </w:r>
      <w:r>
        <w:rPr>
          <w:rFonts w:ascii="Times New Roman" w:hAnsi="Times New Roman" w:cs="Times New Roman"/>
          <w:sz w:val="24"/>
          <w:szCs w:val="24"/>
        </w:rPr>
        <w:t>щий его»</w:t>
      </w:r>
      <w:r>
        <w:rPr>
          <w:rStyle w:val="a3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, а также «</w:t>
      </w:r>
      <w:r w:rsidRPr="002E493A">
        <w:rPr>
          <w:rFonts w:ascii="Times New Roman" w:hAnsi="Times New Roman" w:cs="Times New Roman"/>
          <w:sz w:val="24"/>
          <w:szCs w:val="24"/>
        </w:rPr>
        <w:t>все его разновидности: разворотный, распашной, а также титульный лист, состоящий более, чем из 4 страниц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Style w:val="a3"/>
          <w:rFonts w:ascii="Times New Roman" w:hAnsi="Times New Roman" w:cs="Times New Roman"/>
          <w:sz w:val="24"/>
          <w:szCs w:val="24"/>
        </w:rPr>
        <w:footnoteReference w:id="3"/>
      </w:r>
      <w:r w:rsidRPr="002E493A">
        <w:rPr>
          <w:rFonts w:ascii="Times New Roman" w:hAnsi="Times New Roman" w:cs="Times New Roman"/>
          <w:sz w:val="24"/>
          <w:szCs w:val="24"/>
        </w:rPr>
        <w:t>.</w:t>
      </w:r>
    </w:p>
    <w:p w:rsidR="0044267E" w:rsidRDefault="00F76414" w:rsidP="0044267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4267E" w:rsidRPr="0044267E">
        <w:rPr>
          <w:rFonts w:ascii="Times New Roman" w:hAnsi="Times New Roman" w:cs="Times New Roman"/>
          <w:sz w:val="24"/>
          <w:szCs w:val="24"/>
        </w:rPr>
        <w:t>Контртитул и основная титульная страница разворотного титульного листа (т. е. в совокупности они представляют собой разворот титульного листа) выполняют те же функции, что и титульная страница одинарного титульного листа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Style w:val="a3"/>
          <w:rFonts w:ascii="Times New Roman" w:hAnsi="Times New Roman" w:cs="Times New Roman"/>
          <w:sz w:val="24"/>
          <w:szCs w:val="24"/>
        </w:rPr>
        <w:footnoteReference w:id="4"/>
      </w:r>
      <w:r w:rsidR="0044267E" w:rsidRPr="0044267E">
        <w:rPr>
          <w:rFonts w:ascii="Times New Roman" w:hAnsi="Times New Roman" w:cs="Times New Roman"/>
          <w:sz w:val="24"/>
          <w:szCs w:val="24"/>
        </w:rPr>
        <w:t>.</w:t>
      </w:r>
    </w:p>
    <w:p w:rsidR="00F76414" w:rsidRDefault="00F76414" w:rsidP="0044267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6C8C" w:rsidRPr="00676C8C" w:rsidRDefault="00676C8C" w:rsidP="00676C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Одинарный</w:t>
      </w:r>
      <w:r w:rsidRPr="00676C8C">
        <w:rPr>
          <w:rFonts w:ascii="Times New Roman" w:hAnsi="Times New Roman" w:cs="Times New Roman"/>
          <w:b/>
          <w:bCs/>
          <w:sz w:val="24"/>
          <w:szCs w:val="24"/>
        </w:rPr>
        <w:t xml:space="preserve"> титульный лист</w:t>
      </w:r>
    </w:p>
    <w:p w:rsidR="00676C8C" w:rsidRDefault="00795427" w:rsidP="007954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Титульный лист, состоящий из двух страниц – титульная страница и оборот титульного листа.</w:t>
      </w:r>
    </w:p>
    <w:p w:rsidR="00F76414" w:rsidRDefault="00AD5CD7" w:rsidP="00F62D4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одинарного титульного листа нет контртитула и авантитула. </w:t>
      </w:r>
      <w:r w:rsidR="00F62D44">
        <w:rPr>
          <w:rFonts w:ascii="Times New Roman" w:hAnsi="Times New Roman" w:cs="Times New Roman"/>
          <w:sz w:val="24"/>
          <w:szCs w:val="24"/>
        </w:rPr>
        <w:t>Сведения, указанные на странице перед титульной страницей, заключаются в квадратные скобки.</w:t>
      </w:r>
    </w:p>
    <w:p w:rsidR="00F62D44" w:rsidRDefault="00F62D44" w:rsidP="00F62D4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2D44" w:rsidRDefault="00F62D44" w:rsidP="00F62D4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6414" w:rsidRDefault="00F76414" w:rsidP="0044267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414" w:rsidRDefault="00F76414" w:rsidP="0044267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414" w:rsidRDefault="00F76414" w:rsidP="0044267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414" w:rsidRDefault="00676C8C" w:rsidP="0044267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C8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493C0FA" wp14:editId="5B327893">
            <wp:extent cx="1628747" cy="243597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48164" cy="246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6C8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7F4104C" wp14:editId="3E6A1869">
            <wp:extent cx="1709521" cy="244381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23881" cy="246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6C8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44FC332" wp14:editId="08B92F4E">
            <wp:extent cx="1647900" cy="243602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83024" cy="248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414" w:rsidRDefault="00F76414" w:rsidP="0044267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2FA" w:rsidRDefault="009432FA" w:rsidP="0044267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32FA" w:rsidRPr="00813EAC" w:rsidRDefault="009432FA" w:rsidP="00813E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2831" w:rsidRDefault="00F92831" w:rsidP="00F92831">
      <w:p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sectPr w:rsidR="00F92831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E52" w:rsidRDefault="00254224">
      <w:pPr>
        <w:spacing w:line="240" w:lineRule="auto"/>
      </w:pPr>
      <w:r>
        <w:separator/>
      </w:r>
    </w:p>
  </w:endnote>
  <w:endnote w:type="continuationSeparator" w:id="0">
    <w:p w:rsidR="002F3E52" w:rsidRDefault="00254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E52" w:rsidRDefault="00254224">
      <w:pPr>
        <w:spacing w:after="0"/>
      </w:pPr>
      <w:r>
        <w:separator/>
      </w:r>
    </w:p>
  </w:footnote>
  <w:footnote w:type="continuationSeparator" w:id="0">
    <w:p w:rsidR="002F3E52" w:rsidRDefault="00254224">
      <w:pPr>
        <w:spacing w:after="0"/>
      </w:pPr>
      <w:r>
        <w:continuationSeparator/>
      </w:r>
    </w:p>
  </w:footnote>
  <w:footnote w:id="1">
    <w:p w:rsidR="0021682B" w:rsidRDefault="0021682B">
      <w:pPr>
        <w:pStyle w:val="a8"/>
      </w:pPr>
      <w:r>
        <w:rPr>
          <w:rStyle w:val="a3"/>
        </w:rPr>
        <w:footnoteRef/>
      </w:r>
      <w:r>
        <w:t xml:space="preserve"> Российские правила каталогизации, разд. 6, гл. 51, п. 2.2.</w:t>
      </w:r>
    </w:p>
  </w:footnote>
  <w:footnote w:id="2">
    <w:p w:rsidR="002E493A" w:rsidRDefault="002E493A" w:rsidP="002E493A">
      <w:pPr>
        <w:pStyle w:val="a8"/>
        <w:jc w:val="both"/>
      </w:pPr>
      <w:r>
        <w:rPr>
          <w:rStyle w:val="a3"/>
        </w:rPr>
        <w:footnoteRef/>
      </w:r>
      <w:r>
        <w:t xml:space="preserve"> ГОСТ Р 7.0.100-2018 «Библиографическая запись. Библиографическое описание. Общие требования и правила составления»</w:t>
      </w:r>
    </w:p>
  </w:footnote>
  <w:footnote w:id="3">
    <w:p w:rsidR="007C22D8" w:rsidRPr="002E493A" w:rsidRDefault="002E493A" w:rsidP="002E493A">
      <w:pPr>
        <w:pStyle w:val="a8"/>
        <w:jc w:val="both"/>
      </w:pPr>
      <w:r>
        <w:rPr>
          <w:rStyle w:val="a3"/>
        </w:rPr>
        <w:footnoteRef/>
      </w:r>
      <w:r>
        <w:t xml:space="preserve"> Внедрение ГОСТ Р 7.0.100–2018 «Библиографическая запись. Библиографическое описание: общие требования и правила составления</w:t>
      </w:r>
      <w:proofErr w:type="gramStart"/>
      <w:r>
        <w:t>» :</w:t>
      </w:r>
      <w:proofErr w:type="gramEnd"/>
      <w:r>
        <w:t xml:space="preserve"> методические рекомендации / Рос. гос. б-ка, Отд. </w:t>
      </w:r>
      <w:proofErr w:type="spellStart"/>
      <w:r>
        <w:t>централиз</w:t>
      </w:r>
      <w:proofErr w:type="spellEnd"/>
      <w:r>
        <w:t xml:space="preserve">. каталогизации, Рос. кн. палата ; сост.: И. Ю. Асеева </w:t>
      </w:r>
      <w:r w:rsidRPr="002E493A">
        <w:t>[</w:t>
      </w:r>
      <w:r>
        <w:t>и др.</w:t>
      </w:r>
      <w:r w:rsidRPr="002E493A">
        <w:t>]</w:t>
      </w:r>
      <w:r>
        <w:t xml:space="preserve">. Москва, 2019. </w:t>
      </w:r>
      <w:r>
        <w:rPr>
          <w:lang w:val="en-US"/>
        </w:rPr>
        <w:t>URL</w:t>
      </w:r>
      <w:r w:rsidRPr="002E493A">
        <w:t xml:space="preserve">: </w:t>
      </w:r>
      <w:hyperlink r:id="rId1" w:history="1">
        <w:r w:rsidR="00F85AD4" w:rsidRPr="002B38FD">
          <w:rPr>
            <w:rStyle w:val="a4"/>
          </w:rPr>
          <w:t>https://goo.su/ZqhdvRT</w:t>
        </w:r>
      </w:hyperlink>
      <w:r w:rsidR="00F85AD4">
        <w:t xml:space="preserve"> </w:t>
      </w:r>
      <w:r w:rsidRPr="002E493A">
        <w:t>(</w:t>
      </w:r>
      <w:r>
        <w:t>дата обращения: 25.04.2025</w:t>
      </w:r>
      <w:r w:rsidRPr="002E493A">
        <w:t>)</w:t>
      </w:r>
    </w:p>
  </w:footnote>
  <w:footnote w:id="4">
    <w:p w:rsidR="00F76414" w:rsidRDefault="00F76414">
      <w:pPr>
        <w:pStyle w:val="a8"/>
      </w:pPr>
      <w:r>
        <w:rPr>
          <w:rStyle w:val="a3"/>
        </w:rPr>
        <w:footnoteRef/>
      </w:r>
      <w:r>
        <w:t xml:space="preserve"> Российские правила каталогизации, разд. 6, гл. 51, п. 2.2.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52" w:rsidRDefault="00F62D44">
    <w:pPr>
      <w:pStyle w:val="aa"/>
    </w:pPr>
    <w:r>
      <w:rPr>
        <w:lang w:eastAsia="ru-RU"/>
      </w:rPr>
      <w:pict w14:anchorId="230B602C">
        <v:group id="Группа 196" o:spid="_x0000_s4097" style="position:absolute;margin-left:236.5pt;margin-top:9pt;width:347.9pt;height:38.6pt;z-index:251659264;mso-position-horizontal-relative:page;mso-position-vertical-relative:page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" o:allowincell="f">
          <v:rect id="Rectangle 197" o:spid="_x0000_s4098" style="position:absolute;left:637;top:360;width:9169;height:720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kqMQA&#10;AADaAAAADwAAAGRycy9kb3ducmV2LnhtbESPQWvCQBSE74L/YXlCb7rRVg1pNiJCoJdCtYXi7ZF9&#10;TUKyb2N2m6T/vlsQehxm5hsmPUymFQP1rrasYL2KQBAXVtdcKvh4z5cxCOeRNbaWScEPOThk81mK&#10;ibYjn2m4+FIECLsEFVTed4mUrqjIoFvZjjh4X7Y36IPsS6l7HAPctHITRTtpsOawUGFHp4qK5vJt&#10;FGy1vsZFt989fY7546lxb6+37VGph8V0fAbhafL/4Xv7RSvYwN+Vc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hpKjEAAAA2gAAAA8AAAAAAAAAAAAAAAAAmAIAAGRycy9k&#10;b3ducmV2LnhtbFBLBQYAAAAABAAEAPUAAACJAwAAAAA=&#10;" fillcolor="#e36c0a" stroked="f">
            <v:textbox>
              <w:txbxContent>
                <w:p w:rsidR="002F3E52" w:rsidRDefault="00F62D44">
                  <w:pPr>
                    <w:pStyle w:val="aa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sdt>
                    <w:sdt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  <w:alias w:val="Название"/>
                      <w:id w:val="-1798601957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r w:rsidR="00254224">
                        <w:rPr>
                          <w:rFonts w:ascii="Times New Roman" w:hAnsi="Times New Roman"/>
                          <w:i/>
                          <w:sz w:val="18"/>
                          <w:szCs w:val="28"/>
                        </w:rPr>
                        <w:t>МЕТОДИЧЕСКИЕ РЕКОМЕНДАЦИИ</w:t>
                      </w:r>
                    </w:sdtContent>
                  </w:sdt>
                </w:p>
                <w:p w:rsidR="002F3E52" w:rsidRDefault="00254224">
                  <w:pPr>
                    <w:pStyle w:val="aa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8"/>
                    </w:rPr>
                    <w:t>Центра каталогизации документов библиотечного фонда ДГПБ</w:t>
                  </w:r>
                </w:p>
              </w:txbxContent>
            </v:textbox>
          </v:rect>
          <v:rect id="Rectangle 198" o:spid="_x0000_s4099" style="position:absolute;left:10004;top:360;width:1732;height:720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2iMMA&#10;AADaAAAADwAAAGRycy9kb3ducmV2LnhtbESP3WrCQBSE7wXfYTmCd7rxhyKpq5QWoYLSNvYBjtlj&#10;Epo9G3a3Jvr0riB4OczMN8xy3ZlanMn5yrKCyTgBQZxbXXGh4PewGS1A+ICssbZMCi7kYb3q95aY&#10;atvyD52zUIgIYZ+igjKEJpXS5yUZ9GPbEEfvZJ3BEKUrpHbYRrip5TRJXqTBiuNCiQ29l5T/Zf9G&#10;wd7Kb7mriuOk5eTjcv2ab52ZKzUcdG+vIAJ14Rl+tD+1ghncr8Qb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d2iMMAAADaAAAADwAAAAAAAAAAAAAAAACYAgAAZHJzL2Rv&#10;d25yZXYueG1sUEsFBgAAAAAEAAQA9QAAAIgDAAAAAA==&#10;" fillcolor="#9bbb59" stroked="f">
            <v:textbox>
              <w:txbxContent>
                <w:p w:rsidR="002F3E52" w:rsidRDefault="00E615C2">
                  <w:pPr>
                    <w:pStyle w:val="aa"/>
                    <w:rPr>
                      <w:b/>
                      <w:sz w:val="14"/>
                    </w:rPr>
                  </w:pPr>
                  <w:proofErr w:type="gramStart"/>
                  <w:r>
                    <w:rPr>
                      <w:b/>
                      <w:sz w:val="14"/>
                    </w:rPr>
                    <w:t>апрель</w:t>
                  </w:r>
                  <w:proofErr w:type="gramEnd"/>
                  <w:r w:rsidR="00254224">
                    <w:rPr>
                      <w:b/>
                      <w:sz w:val="14"/>
                    </w:rPr>
                    <w:t xml:space="preserve">, </w:t>
                  </w:r>
                </w:p>
                <w:p w:rsidR="002F3E52" w:rsidRDefault="00254224">
                  <w:pPr>
                    <w:pStyle w:val="aa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 xml:space="preserve">2025, № </w:t>
                  </w:r>
                  <w:r w:rsidR="00E615C2">
                    <w:rPr>
                      <w:b/>
                      <w:sz w:val="14"/>
                    </w:rPr>
                    <w:t>5</w:t>
                  </w:r>
                </w:p>
              </w:txbxContent>
            </v:textbox>
          </v:rect>
          <v:rect id="Rectangle 199" o:spid="_x0000_s4100" style="position:absolute;left:330;top:308;width:11586;height: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0FD0F99"/>
    <w:multiLevelType w:val="singleLevel"/>
    <w:tmpl w:val="A0FD0F99"/>
    <w:lvl w:ilvl="0">
      <w:start w:val="1"/>
      <w:numFmt w:val="decimal"/>
      <w:suff w:val="space"/>
      <w:lvlText w:val="%1."/>
      <w:lvlJc w:val="left"/>
    </w:lvl>
  </w:abstractNum>
  <w:abstractNum w:abstractNumId="1">
    <w:nsid w:val="A9E60E7D"/>
    <w:multiLevelType w:val="singleLevel"/>
    <w:tmpl w:val="A9E60E7D"/>
    <w:lvl w:ilvl="0">
      <w:start w:val="1"/>
      <w:numFmt w:val="decimal"/>
      <w:suff w:val="space"/>
      <w:lvlText w:val="%1."/>
      <w:lvlJc w:val="left"/>
    </w:lvl>
  </w:abstractNum>
  <w:abstractNum w:abstractNumId="2">
    <w:nsid w:val="B0E22D61"/>
    <w:multiLevelType w:val="singleLevel"/>
    <w:tmpl w:val="B0E22D61"/>
    <w:lvl w:ilvl="0">
      <w:start w:val="1"/>
      <w:numFmt w:val="decimal"/>
      <w:suff w:val="space"/>
      <w:lvlText w:val="%1."/>
      <w:lvlJc w:val="left"/>
    </w:lvl>
  </w:abstractNum>
  <w:abstractNum w:abstractNumId="3">
    <w:nsid w:val="54545071"/>
    <w:multiLevelType w:val="multilevel"/>
    <w:tmpl w:val="9ABE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85EE8"/>
    <w:rsid w:val="0000760E"/>
    <w:rsid w:val="0001156F"/>
    <w:rsid w:val="00011F1B"/>
    <w:rsid w:val="00013C36"/>
    <w:rsid w:val="0002442A"/>
    <w:rsid w:val="00024C6B"/>
    <w:rsid w:val="000418CD"/>
    <w:rsid w:val="000440B6"/>
    <w:rsid w:val="00051048"/>
    <w:rsid w:val="000525C3"/>
    <w:rsid w:val="00063AB9"/>
    <w:rsid w:val="0008146A"/>
    <w:rsid w:val="00085EE8"/>
    <w:rsid w:val="000A5CF1"/>
    <w:rsid w:val="000C1785"/>
    <w:rsid w:val="000C4847"/>
    <w:rsid w:val="000D32B7"/>
    <w:rsid w:val="000D5971"/>
    <w:rsid w:val="000E1CCE"/>
    <w:rsid w:val="000F56A7"/>
    <w:rsid w:val="000F5969"/>
    <w:rsid w:val="001028BC"/>
    <w:rsid w:val="00116B69"/>
    <w:rsid w:val="00133D2E"/>
    <w:rsid w:val="001354A8"/>
    <w:rsid w:val="00150606"/>
    <w:rsid w:val="00151B5E"/>
    <w:rsid w:val="001521B1"/>
    <w:rsid w:val="00164253"/>
    <w:rsid w:val="001654B8"/>
    <w:rsid w:val="00165612"/>
    <w:rsid w:val="0017315A"/>
    <w:rsid w:val="0017674D"/>
    <w:rsid w:val="00182904"/>
    <w:rsid w:val="0019054E"/>
    <w:rsid w:val="001927A0"/>
    <w:rsid w:val="001A3303"/>
    <w:rsid w:val="001B71E7"/>
    <w:rsid w:val="001C2EB9"/>
    <w:rsid w:val="001C32AC"/>
    <w:rsid w:val="001C77B0"/>
    <w:rsid w:val="001D1669"/>
    <w:rsid w:val="001D2BC7"/>
    <w:rsid w:val="001D617C"/>
    <w:rsid w:val="001D656E"/>
    <w:rsid w:val="001E1C56"/>
    <w:rsid w:val="001F558F"/>
    <w:rsid w:val="0021682B"/>
    <w:rsid w:val="0022673A"/>
    <w:rsid w:val="0023018B"/>
    <w:rsid w:val="00254224"/>
    <w:rsid w:val="00254C97"/>
    <w:rsid w:val="0026468C"/>
    <w:rsid w:val="00265DB5"/>
    <w:rsid w:val="00275687"/>
    <w:rsid w:val="00281A14"/>
    <w:rsid w:val="0028753C"/>
    <w:rsid w:val="00291FE2"/>
    <w:rsid w:val="002B47C8"/>
    <w:rsid w:val="002C6D9E"/>
    <w:rsid w:val="002D6399"/>
    <w:rsid w:val="002D7642"/>
    <w:rsid w:val="002E493A"/>
    <w:rsid w:val="002F1184"/>
    <w:rsid w:val="002F3E52"/>
    <w:rsid w:val="002F51E2"/>
    <w:rsid w:val="003026EA"/>
    <w:rsid w:val="003050BD"/>
    <w:rsid w:val="003120D9"/>
    <w:rsid w:val="00326308"/>
    <w:rsid w:val="003344BE"/>
    <w:rsid w:val="00341B06"/>
    <w:rsid w:val="00341C53"/>
    <w:rsid w:val="003437E6"/>
    <w:rsid w:val="003528D0"/>
    <w:rsid w:val="00375143"/>
    <w:rsid w:val="003826D0"/>
    <w:rsid w:val="003A7D23"/>
    <w:rsid w:val="003B7BD0"/>
    <w:rsid w:val="003D56FD"/>
    <w:rsid w:val="0040581E"/>
    <w:rsid w:val="00410BE6"/>
    <w:rsid w:val="00414CF2"/>
    <w:rsid w:val="00417943"/>
    <w:rsid w:val="004276C5"/>
    <w:rsid w:val="00437E83"/>
    <w:rsid w:val="0044267E"/>
    <w:rsid w:val="00453A87"/>
    <w:rsid w:val="00464142"/>
    <w:rsid w:val="004701E9"/>
    <w:rsid w:val="00471008"/>
    <w:rsid w:val="00477D00"/>
    <w:rsid w:val="004874D6"/>
    <w:rsid w:val="00496FEB"/>
    <w:rsid w:val="004D0E56"/>
    <w:rsid w:val="004D4A37"/>
    <w:rsid w:val="004E5D4C"/>
    <w:rsid w:val="004F44BF"/>
    <w:rsid w:val="004F4C47"/>
    <w:rsid w:val="00502510"/>
    <w:rsid w:val="00512D68"/>
    <w:rsid w:val="00530256"/>
    <w:rsid w:val="00533514"/>
    <w:rsid w:val="0053665D"/>
    <w:rsid w:val="005422EE"/>
    <w:rsid w:val="00544261"/>
    <w:rsid w:val="00546A62"/>
    <w:rsid w:val="00550A52"/>
    <w:rsid w:val="00564503"/>
    <w:rsid w:val="005734FA"/>
    <w:rsid w:val="0058464F"/>
    <w:rsid w:val="00593006"/>
    <w:rsid w:val="0059380E"/>
    <w:rsid w:val="005A16EE"/>
    <w:rsid w:val="005A269E"/>
    <w:rsid w:val="005A3014"/>
    <w:rsid w:val="005A676A"/>
    <w:rsid w:val="005C186D"/>
    <w:rsid w:val="005D7055"/>
    <w:rsid w:val="005D7AD7"/>
    <w:rsid w:val="005E1338"/>
    <w:rsid w:val="005E1918"/>
    <w:rsid w:val="005E3F54"/>
    <w:rsid w:val="005F34CB"/>
    <w:rsid w:val="005F3C6A"/>
    <w:rsid w:val="0060371A"/>
    <w:rsid w:val="00634221"/>
    <w:rsid w:val="00637F47"/>
    <w:rsid w:val="00640F57"/>
    <w:rsid w:val="00650729"/>
    <w:rsid w:val="00655861"/>
    <w:rsid w:val="00657A12"/>
    <w:rsid w:val="00667622"/>
    <w:rsid w:val="00672549"/>
    <w:rsid w:val="00675A37"/>
    <w:rsid w:val="00676C8C"/>
    <w:rsid w:val="006A707E"/>
    <w:rsid w:val="006B3007"/>
    <w:rsid w:val="006B392B"/>
    <w:rsid w:val="006B45DE"/>
    <w:rsid w:val="006B5134"/>
    <w:rsid w:val="006C4789"/>
    <w:rsid w:val="006C5D64"/>
    <w:rsid w:val="006F4F8D"/>
    <w:rsid w:val="00703BF0"/>
    <w:rsid w:val="007203AD"/>
    <w:rsid w:val="0073653D"/>
    <w:rsid w:val="007461B6"/>
    <w:rsid w:val="00746821"/>
    <w:rsid w:val="007475B6"/>
    <w:rsid w:val="007527A9"/>
    <w:rsid w:val="00773279"/>
    <w:rsid w:val="00773E80"/>
    <w:rsid w:val="00773F60"/>
    <w:rsid w:val="00782A4A"/>
    <w:rsid w:val="007947A3"/>
    <w:rsid w:val="00795427"/>
    <w:rsid w:val="007C22D8"/>
    <w:rsid w:val="007D7573"/>
    <w:rsid w:val="007E26C9"/>
    <w:rsid w:val="007F278C"/>
    <w:rsid w:val="007F3863"/>
    <w:rsid w:val="007F4D2A"/>
    <w:rsid w:val="00813EAC"/>
    <w:rsid w:val="00823B13"/>
    <w:rsid w:val="00827BFE"/>
    <w:rsid w:val="008309A7"/>
    <w:rsid w:val="00854E55"/>
    <w:rsid w:val="00855B75"/>
    <w:rsid w:val="00872E72"/>
    <w:rsid w:val="00880F90"/>
    <w:rsid w:val="00881931"/>
    <w:rsid w:val="00890A51"/>
    <w:rsid w:val="008A0B48"/>
    <w:rsid w:val="008A7508"/>
    <w:rsid w:val="008B21FA"/>
    <w:rsid w:val="008B5ADA"/>
    <w:rsid w:val="008E0414"/>
    <w:rsid w:val="008F778E"/>
    <w:rsid w:val="0090113F"/>
    <w:rsid w:val="009035DE"/>
    <w:rsid w:val="009141C1"/>
    <w:rsid w:val="00916E2A"/>
    <w:rsid w:val="00924986"/>
    <w:rsid w:val="0093464A"/>
    <w:rsid w:val="009432FA"/>
    <w:rsid w:val="00950BDF"/>
    <w:rsid w:val="00951CFE"/>
    <w:rsid w:val="00960256"/>
    <w:rsid w:val="0097576F"/>
    <w:rsid w:val="009807C1"/>
    <w:rsid w:val="009A3E18"/>
    <w:rsid w:val="009A63E4"/>
    <w:rsid w:val="009C11A5"/>
    <w:rsid w:val="009C2420"/>
    <w:rsid w:val="009C7B49"/>
    <w:rsid w:val="009D06B3"/>
    <w:rsid w:val="009E0CE2"/>
    <w:rsid w:val="00A01DCF"/>
    <w:rsid w:val="00A04A2D"/>
    <w:rsid w:val="00A22656"/>
    <w:rsid w:val="00A23554"/>
    <w:rsid w:val="00A24DDC"/>
    <w:rsid w:val="00A2552E"/>
    <w:rsid w:val="00A31C8C"/>
    <w:rsid w:val="00A373D9"/>
    <w:rsid w:val="00A4285E"/>
    <w:rsid w:val="00A4733E"/>
    <w:rsid w:val="00A531C2"/>
    <w:rsid w:val="00A558AD"/>
    <w:rsid w:val="00A70D3C"/>
    <w:rsid w:val="00A72A45"/>
    <w:rsid w:val="00A83B8A"/>
    <w:rsid w:val="00A8404C"/>
    <w:rsid w:val="00A9283D"/>
    <w:rsid w:val="00A95F8F"/>
    <w:rsid w:val="00AA3D75"/>
    <w:rsid w:val="00AA41F4"/>
    <w:rsid w:val="00AC2C13"/>
    <w:rsid w:val="00AD1CAA"/>
    <w:rsid w:val="00AD5CD7"/>
    <w:rsid w:val="00AE3E91"/>
    <w:rsid w:val="00AE7004"/>
    <w:rsid w:val="00B02DD6"/>
    <w:rsid w:val="00B04945"/>
    <w:rsid w:val="00B12696"/>
    <w:rsid w:val="00B17379"/>
    <w:rsid w:val="00B26790"/>
    <w:rsid w:val="00B30F26"/>
    <w:rsid w:val="00B3323B"/>
    <w:rsid w:val="00B432B5"/>
    <w:rsid w:val="00B46F28"/>
    <w:rsid w:val="00B52E17"/>
    <w:rsid w:val="00B550B2"/>
    <w:rsid w:val="00B81AB3"/>
    <w:rsid w:val="00B94F69"/>
    <w:rsid w:val="00B9557A"/>
    <w:rsid w:val="00B9782E"/>
    <w:rsid w:val="00BB09E1"/>
    <w:rsid w:val="00BD53C8"/>
    <w:rsid w:val="00BD54E2"/>
    <w:rsid w:val="00BE1775"/>
    <w:rsid w:val="00BE1F06"/>
    <w:rsid w:val="00C20FB1"/>
    <w:rsid w:val="00C41355"/>
    <w:rsid w:val="00C41F6D"/>
    <w:rsid w:val="00C43B1B"/>
    <w:rsid w:val="00C52DE0"/>
    <w:rsid w:val="00C557D6"/>
    <w:rsid w:val="00C76283"/>
    <w:rsid w:val="00C804ED"/>
    <w:rsid w:val="00C94F46"/>
    <w:rsid w:val="00CA1520"/>
    <w:rsid w:val="00CA47BB"/>
    <w:rsid w:val="00CE0008"/>
    <w:rsid w:val="00CE529A"/>
    <w:rsid w:val="00CE6564"/>
    <w:rsid w:val="00CF11CB"/>
    <w:rsid w:val="00CF4713"/>
    <w:rsid w:val="00D05FDF"/>
    <w:rsid w:val="00D0782C"/>
    <w:rsid w:val="00D17054"/>
    <w:rsid w:val="00D32332"/>
    <w:rsid w:val="00D3357A"/>
    <w:rsid w:val="00D3453C"/>
    <w:rsid w:val="00D408FC"/>
    <w:rsid w:val="00D40CE7"/>
    <w:rsid w:val="00D40D66"/>
    <w:rsid w:val="00D46D0C"/>
    <w:rsid w:val="00D479DC"/>
    <w:rsid w:val="00D54BCA"/>
    <w:rsid w:val="00D637B0"/>
    <w:rsid w:val="00D913DD"/>
    <w:rsid w:val="00D92DFD"/>
    <w:rsid w:val="00DA5865"/>
    <w:rsid w:val="00DB3FEC"/>
    <w:rsid w:val="00DC4263"/>
    <w:rsid w:val="00DC76A3"/>
    <w:rsid w:val="00DC784B"/>
    <w:rsid w:val="00DD6ED4"/>
    <w:rsid w:val="00DE6FC9"/>
    <w:rsid w:val="00E1490B"/>
    <w:rsid w:val="00E16EDB"/>
    <w:rsid w:val="00E278EC"/>
    <w:rsid w:val="00E33B94"/>
    <w:rsid w:val="00E46357"/>
    <w:rsid w:val="00E55899"/>
    <w:rsid w:val="00E615C2"/>
    <w:rsid w:val="00E645FB"/>
    <w:rsid w:val="00E64D72"/>
    <w:rsid w:val="00E76D51"/>
    <w:rsid w:val="00E8194A"/>
    <w:rsid w:val="00E933D8"/>
    <w:rsid w:val="00EA1D18"/>
    <w:rsid w:val="00EA3CB1"/>
    <w:rsid w:val="00EA3D5E"/>
    <w:rsid w:val="00EA5483"/>
    <w:rsid w:val="00EC711E"/>
    <w:rsid w:val="00EE365E"/>
    <w:rsid w:val="00F04730"/>
    <w:rsid w:val="00F12DDC"/>
    <w:rsid w:val="00F14C96"/>
    <w:rsid w:val="00F21982"/>
    <w:rsid w:val="00F25ABC"/>
    <w:rsid w:val="00F26871"/>
    <w:rsid w:val="00F32141"/>
    <w:rsid w:val="00F441CF"/>
    <w:rsid w:val="00F463AD"/>
    <w:rsid w:val="00F503D0"/>
    <w:rsid w:val="00F531AC"/>
    <w:rsid w:val="00F62D44"/>
    <w:rsid w:val="00F67ABD"/>
    <w:rsid w:val="00F76414"/>
    <w:rsid w:val="00F85AD4"/>
    <w:rsid w:val="00F90B4A"/>
    <w:rsid w:val="00F92831"/>
    <w:rsid w:val="00F93112"/>
    <w:rsid w:val="00FA30A1"/>
    <w:rsid w:val="00FA690D"/>
    <w:rsid w:val="00FA70A2"/>
    <w:rsid w:val="00FB19C8"/>
    <w:rsid w:val="00FC4F07"/>
    <w:rsid w:val="00FD2188"/>
    <w:rsid w:val="00FF3C6A"/>
    <w:rsid w:val="00FF4D1A"/>
    <w:rsid w:val="00FF6BC8"/>
    <w:rsid w:val="00FF7117"/>
    <w:rsid w:val="016114E8"/>
    <w:rsid w:val="01B44034"/>
    <w:rsid w:val="04315E1E"/>
    <w:rsid w:val="049B529E"/>
    <w:rsid w:val="04DE14C6"/>
    <w:rsid w:val="08767F5D"/>
    <w:rsid w:val="091724F2"/>
    <w:rsid w:val="0E860CE1"/>
    <w:rsid w:val="0E87229D"/>
    <w:rsid w:val="117B4CA2"/>
    <w:rsid w:val="12F426D5"/>
    <w:rsid w:val="144E07DC"/>
    <w:rsid w:val="145124CA"/>
    <w:rsid w:val="14851779"/>
    <w:rsid w:val="168A7B74"/>
    <w:rsid w:val="196562B6"/>
    <w:rsid w:val="1A722F70"/>
    <w:rsid w:val="1AC54F79"/>
    <w:rsid w:val="1B777DFB"/>
    <w:rsid w:val="1C48750C"/>
    <w:rsid w:val="1DD60EA6"/>
    <w:rsid w:val="1EF62054"/>
    <w:rsid w:val="1F3C1C4F"/>
    <w:rsid w:val="1F950412"/>
    <w:rsid w:val="2206685F"/>
    <w:rsid w:val="22472973"/>
    <w:rsid w:val="23C358BC"/>
    <w:rsid w:val="24E9569E"/>
    <w:rsid w:val="256054CE"/>
    <w:rsid w:val="26B63EE5"/>
    <w:rsid w:val="27FB5F25"/>
    <w:rsid w:val="28D5683E"/>
    <w:rsid w:val="29051C22"/>
    <w:rsid w:val="297F2C96"/>
    <w:rsid w:val="29E116D0"/>
    <w:rsid w:val="2AC81DF1"/>
    <w:rsid w:val="2ADE5363"/>
    <w:rsid w:val="2B3F5F61"/>
    <w:rsid w:val="2C1E6ABA"/>
    <w:rsid w:val="2D17255C"/>
    <w:rsid w:val="2D6A2D98"/>
    <w:rsid w:val="2D740220"/>
    <w:rsid w:val="2E990B13"/>
    <w:rsid w:val="31113F0F"/>
    <w:rsid w:val="31CB2D17"/>
    <w:rsid w:val="340B3B7A"/>
    <w:rsid w:val="34A1760C"/>
    <w:rsid w:val="35026383"/>
    <w:rsid w:val="35F32813"/>
    <w:rsid w:val="361030F7"/>
    <w:rsid w:val="362B03D1"/>
    <w:rsid w:val="387C0BB8"/>
    <w:rsid w:val="388D1060"/>
    <w:rsid w:val="38E627E6"/>
    <w:rsid w:val="3A744576"/>
    <w:rsid w:val="3B7C04A6"/>
    <w:rsid w:val="3BA740CA"/>
    <w:rsid w:val="3E240410"/>
    <w:rsid w:val="3EFA6ABC"/>
    <w:rsid w:val="3F705C23"/>
    <w:rsid w:val="3F7C2875"/>
    <w:rsid w:val="41D35C22"/>
    <w:rsid w:val="41F027BE"/>
    <w:rsid w:val="42FC0372"/>
    <w:rsid w:val="45481C75"/>
    <w:rsid w:val="4757351A"/>
    <w:rsid w:val="47DE5BC3"/>
    <w:rsid w:val="48FB0A5A"/>
    <w:rsid w:val="499B1492"/>
    <w:rsid w:val="4B4B4CC6"/>
    <w:rsid w:val="4BF91035"/>
    <w:rsid w:val="4F990227"/>
    <w:rsid w:val="523547B1"/>
    <w:rsid w:val="523F6FE3"/>
    <w:rsid w:val="5832509C"/>
    <w:rsid w:val="58A95E47"/>
    <w:rsid w:val="59461A9A"/>
    <w:rsid w:val="5A7E7705"/>
    <w:rsid w:val="5AD11397"/>
    <w:rsid w:val="5C642E64"/>
    <w:rsid w:val="5C9602FA"/>
    <w:rsid w:val="5CA6075D"/>
    <w:rsid w:val="5D5F759F"/>
    <w:rsid w:val="5EF16769"/>
    <w:rsid w:val="622754BA"/>
    <w:rsid w:val="62802287"/>
    <w:rsid w:val="63D93A20"/>
    <w:rsid w:val="63F06D02"/>
    <w:rsid w:val="663835BC"/>
    <w:rsid w:val="67903975"/>
    <w:rsid w:val="67CE4ADF"/>
    <w:rsid w:val="6827516E"/>
    <w:rsid w:val="68494FD3"/>
    <w:rsid w:val="6942333C"/>
    <w:rsid w:val="69BC5918"/>
    <w:rsid w:val="69E563C8"/>
    <w:rsid w:val="6CC57761"/>
    <w:rsid w:val="6D9B2FE1"/>
    <w:rsid w:val="6E2C534B"/>
    <w:rsid w:val="6EE344EA"/>
    <w:rsid w:val="6F007AF2"/>
    <w:rsid w:val="6FAE0B0F"/>
    <w:rsid w:val="7118679B"/>
    <w:rsid w:val="714F4C03"/>
    <w:rsid w:val="725B506B"/>
    <w:rsid w:val="726E34C9"/>
    <w:rsid w:val="72B678C5"/>
    <w:rsid w:val="749F3F58"/>
    <w:rsid w:val="7506350D"/>
    <w:rsid w:val="76835EFD"/>
    <w:rsid w:val="772D5D32"/>
    <w:rsid w:val="778B6F43"/>
    <w:rsid w:val="78072B24"/>
    <w:rsid w:val="79FE2930"/>
    <w:rsid w:val="7DEF2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4A1E135B-D4D3-40B1-97EE-1988AEA8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unhideWhenUsed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сноски Знак"/>
    <w:basedOn w:val="a0"/>
    <w:link w:val="a8"/>
    <w:uiPriority w:val="99"/>
    <w:semiHidden/>
    <w:qFormat/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qFormat/>
  </w:style>
  <w:style w:type="character" w:customStyle="1" w:styleId="ad">
    <w:name w:val="Нижний колонтитул Знак"/>
    <w:basedOn w:val="a0"/>
    <w:link w:val="ac"/>
    <w:uiPriority w:val="99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jsgrdq">
    <w:name w:val="jsgrdq"/>
    <w:basedOn w:val="a0"/>
    <w:qFormat/>
  </w:style>
  <w:style w:type="paragraph" w:customStyle="1" w:styleId="04xlpa">
    <w:name w:val="_04xlp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">
    <w:name w:val="highlight"/>
    <w:basedOn w:val="a0"/>
    <w:qFormat/>
  </w:style>
  <w:style w:type="paragraph" w:customStyle="1" w:styleId="formattext">
    <w:name w:val="formattext"/>
    <w:basedOn w:val="a"/>
    <w:rsid w:val="00D4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813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7C22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oo.su/Zqhdv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100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F2E8A9-1AD9-4427-A1D2-9746F4AB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SPecialiST RePack</Company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Светлана</dc:creator>
  <cp:lastModifiedBy>Светлана Ивкина</cp:lastModifiedBy>
  <cp:revision>212</cp:revision>
  <cp:lastPrinted>2025-03-28T10:33:00Z</cp:lastPrinted>
  <dcterms:created xsi:type="dcterms:W3CDTF">2020-11-25T07:49:00Z</dcterms:created>
  <dcterms:modified xsi:type="dcterms:W3CDTF">2025-08-15T11:02:00Z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8B60FDD3225546D1B4171095B06BEBCA</vt:lpwstr>
  </property>
</Properties>
</file>