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9D1B8">
      <w:pPr>
        <w:jc w:val="center"/>
        <w:rPr>
          <w:rFonts w:ascii="Times New Roman" w:hAnsi="Times New Roman" w:cs="Times New Roman"/>
          <w:b/>
          <w:sz w:val="28"/>
        </w:rPr>
      </w:pPr>
    </w:p>
    <w:p w14:paraId="5D750458">
      <w:pPr>
        <w:jc w:val="center"/>
        <w:rPr>
          <w:rFonts w:ascii="Times New Roman" w:hAnsi="Times New Roman" w:cs="Times New Roman"/>
          <w:b/>
          <w:sz w:val="28"/>
        </w:rPr>
      </w:pPr>
    </w:p>
    <w:p w14:paraId="2073AA0A">
      <w:pPr>
        <w:spacing w:after="0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ББК Средние таблицы.</w:t>
      </w:r>
    </w:p>
    <w:p w14:paraId="7F25A262">
      <w:pPr>
        <w:spacing w:after="0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</w:p>
    <w:p w14:paraId="136B9B4A">
      <w:pPr>
        <w:spacing w:after="0"/>
        <w:jc w:val="center"/>
        <w:rPr>
          <w:rFonts w:hint="default" w:ascii="Times New Roman" w:hAnsi="Times New Roman" w:cs="Times New Roman"/>
          <w:b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b/>
          <w:sz w:val="26"/>
          <w:szCs w:val="26"/>
          <w:lang w:val="ru-RU"/>
        </w:rPr>
        <w:t>Литература о СВО</w:t>
      </w:r>
      <w:r>
        <w:rPr>
          <w:rStyle w:val="5"/>
          <w:rFonts w:hint="default" w:ascii="Times New Roman" w:hAnsi="Times New Roman" w:cs="Times New Roman"/>
          <w:b/>
          <w:sz w:val="26"/>
          <w:szCs w:val="26"/>
          <w:lang w:val="ru-RU"/>
        </w:rPr>
        <w:footnoteReference w:id="0"/>
      </w:r>
    </w:p>
    <w:p w14:paraId="7DD648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ourier New" w:hAnsi="Courier New" w:eastAsia="SimSun" w:cs="Courier New"/>
          <w:sz w:val="24"/>
          <w:szCs w:val="24"/>
          <w:lang w:val="ru-RU"/>
        </w:rPr>
      </w:pPr>
    </w:p>
    <w:p w14:paraId="608593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en-US" w:eastAsia="ru-RU"/>
        </w:rPr>
      </w:pPr>
    </w:p>
    <w:p w14:paraId="097826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en-US" w:eastAsia="ru-RU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3185"/>
        <w:gridCol w:w="4236"/>
      </w:tblGrid>
      <w:tr w14:paraId="626AA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  <w:shd w:val="clear" w:color="auto" w:fill="auto"/>
            <w:vAlign w:val="top"/>
          </w:tcPr>
          <w:p w14:paraId="35344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vertAlign w:val="baseline"/>
                <w:lang w:val="en-US" w:eastAsia="ru-RU"/>
              </w:rPr>
            </w:pPr>
          </w:p>
          <w:p w14:paraId="7D34F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vertAlign w:val="baseline"/>
                <w:lang w:val="en-US" w:eastAsia="ru-RU"/>
              </w:rPr>
              <w:t>История Европы</w:t>
            </w:r>
          </w:p>
        </w:tc>
      </w:tr>
      <w:tr w14:paraId="535D3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0" w:type="dxa"/>
            <w:shd w:val="clear" w:color="auto" w:fill="auto"/>
            <w:vAlign w:val="top"/>
          </w:tcPr>
          <w:p w14:paraId="534B7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  <w:t>63.3(4Укр)4</w:t>
            </w:r>
          </w:p>
        </w:tc>
        <w:tc>
          <w:tcPr>
            <w:tcW w:w="3185" w:type="dxa"/>
            <w:shd w:val="clear" w:color="auto" w:fill="auto"/>
            <w:vAlign w:val="top"/>
          </w:tcPr>
          <w:p w14:paraId="11C29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vertAlign w:val="baseline"/>
                <w:lang w:val="en-US" w:eastAsia="ru-RU"/>
              </w:rPr>
              <w:t>4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  <w:t xml:space="preserve"> Европа в средние века (V-XV 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ru-RU" w:eastAsia="ru-RU"/>
              </w:rPr>
              <w:t>вв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  <w:t>.)</w:t>
            </w:r>
          </w:p>
        </w:tc>
        <w:tc>
          <w:tcPr>
            <w:tcW w:w="4236" w:type="dxa"/>
            <w:shd w:val="clear" w:color="auto" w:fill="auto"/>
            <w:vAlign w:val="top"/>
          </w:tcPr>
          <w:p w14:paraId="6AE61859"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right="0"/>
              <w:jc w:val="both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u w:val="single"/>
                <w:lang w:val="en-US" w:eastAsia="ru-RU" w:bidi="ar-SA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trike/>
                <w:dstrike w:val="0"/>
                <w:sz w:val="24"/>
                <w:szCs w:val="24"/>
                <w:u w:val="none"/>
                <w:lang w:val="en-US" w:eastAsia="ru-RU" w:bidi="ar-SA"/>
              </w:rPr>
              <w:t>Украина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 w:bidi="ar-SA"/>
              </w:rPr>
              <w:t> 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u w:val="single"/>
                <w:lang w:val="en-US" w:eastAsia="ru-RU" w:bidi="ar-SA"/>
              </w:rPr>
              <w:t>Малороссия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 w:bidi="ar-SA"/>
              </w:rPr>
              <w:t> в составе Великого княжества Литовского. Брестская (церковная) уния (1596). 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trike/>
                <w:dstrike w:val="0"/>
                <w:sz w:val="24"/>
                <w:szCs w:val="24"/>
                <w:lang w:val="en-US" w:eastAsia="ru-RU" w:bidi="ar-SA"/>
              </w:rPr>
              <w:t>Украина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 w:bidi="ar-SA"/>
              </w:rPr>
              <w:t> 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u w:val="single"/>
                <w:lang w:val="en-US" w:eastAsia="ru-RU" w:bidi="ar-SA"/>
              </w:rPr>
              <w:t>Малороссия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 w:bidi="ar-SA"/>
              </w:rPr>
              <w:t xml:space="preserve"> в составе Речи Посполитой. 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trike/>
                <w:dstrike w:val="0"/>
                <w:sz w:val="24"/>
                <w:szCs w:val="24"/>
                <w:lang w:val="en-US" w:eastAsia="ru-RU" w:bidi="ar-SA"/>
              </w:rPr>
              <w:t>Освободительная борьба украинского народа (1648—1654)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 w:bidi="ar-SA"/>
              </w:rPr>
              <w:t>. 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u w:val="single"/>
                <w:lang w:val="en-US" w:eastAsia="ru-RU" w:bidi="ar-SA"/>
              </w:rPr>
              <w:t>Восстание под предводительством гетмана Богдана Хмельницкого (1648—1654)</w:t>
            </w:r>
          </w:p>
          <w:p w14:paraId="536DCEFB"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 w:bidi="ar-SA"/>
              </w:rPr>
              <w:t> Киевская Русь (IX-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u w:val="single"/>
                <w:lang w:val="en-US" w:eastAsia="ru-RU" w:bidi="ar-SA"/>
              </w:rPr>
              <w:t>XII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 w:bidi="ar-SA"/>
              </w:rPr>
              <w:t> вв.) см. 63.3(2)411</w:t>
            </w:r>
          </w:p>
          <w:p w14:paraId="06A43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vertAlign w:val="baseline"/>
                <w:lang w:val="en-US" w:eastAsia="ru-RU"/>
              </w:rPr>
            </w:pPr>
          </w:p>
        </w:tc>
      </w:tr>
      <w:tr w14:paraId="14B37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2150" w:type="dxa"/>
            <w:shd w:val="clear" w:color="auto" w:fill="auto"/>
            <w:vAlign w:val="top"/>
          </w:tcPr>
          <w:p w14:paraId="38C7C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  <w:t>63.3(4Укр)5</w:t>
            </w:r>
          </w:p>
        </w:tc>
        <w:tc>
          <w:tcPr>
            <w:tcW w:w="3185" w:type="dxa"/>
            <w:shd w:val="clear" w:color="auto" w:fill="auto"/>
            <w:vAlign w:val="top"/>
          </w:tcPr>
          <w:p w14:paraId="0BFD4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vertAlign w:val="baseline"/>
                <w:lang w:val="en-US" w:eastAsia="ru-RU"/>
              </w:rPr>
              <w:t>5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  <w:t xml:space="preserve"> Украина в сер. XVII в. — 1917 г.</w:t>
            </w:r>
          </w:p>
        </w:tc>
        <w:tc>
          <w:tcPr>
            <w:tcW w:w="4236" w:type="dxa"/>
            <w:shd w:val="clear" w:color="auto" w:fill="auto"/>
            <w:vAlign w:val="top"/>
          </w:tcPr>
          <w:p w14:paraId="5DCB7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i w:val="0"/>
                <w:iCs w:val="0"/>
                <w:caps w:val="0"/>
                <w:strike/>
                <w:dstrike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SimSun" w:cs="Courier New"/>
                <w:i w:val="0"/>
                <w:iCs w:val="0"/>
                <w:caps w:val="0"/>
                <w:strike/>
                <w:dstrike w:val="0"/>
                <w:color w:val="000000"/>
                <w:spacing w:val="0"/>
                <w:sz w:val="24"/>
                <w:szCs w:val="24"/>
              </w:rPr>
              <w:t>Воссоединение Украины с Россией</w:t>
            </w:r>
            <w:r>
              <w:rPr>
                <w:rFonts w:hint="default" w:ascii="Courier New" w:hAnsi="Courier New" w:eastAsia="SimSun" w:cs="Courier New"/>
                <w:i w:val="0"/>
                <w:iCs w:val="0"/>
                <w:caps w:val="0"/>
                <w:strike/>
                <w:dstrike w:val="0"/>
                <w:color w:val="000000"/>
                <w:spacing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Courier New" w:hAnsi="Courier New" w:eastAsia="SimSun" w:cs="Courier New"/>
                <w:i w:val="0"/>
                <w:iCs w:val="0"/>
                <w:caps w:val="0"/>
                <w:strike/>
                <w:dstrike w:val="0"/>
                <w:color w:val="000000"/>
                <w:spacing w:val="0"/>
                <w:sz w:val="24"/>
                <w:szCs w:val="24"/>
              </w:rPr>
              <w:t>(1654). </w:t>
            </w:r>
          </w:p>
          <w:p w14:paraId="41A71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vertAlign w:val="baseline"/>
                <w:lang w:val="ru-RU" w:eastAsia="ru-RU"/>
              </w:rPr>
            </w:pPr>
            <w:r>
              <w:rPr>
                <w:rFonts w:hint="default" w:ascii="Courier New" w:hAnsi="Courier New" w:eastAsia="SimSun" w:cs="Courier Ne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single"/>
              </w:rPr>
              <w:t>Воссоединение Малороссии с Россией. Переяславская Рада (1654).</w:t>
            </w:r>
            <w:r>
              <w:rPr>
                <w:rFonts w:hint="default" w:ascii="Courier New" w:hAnsi="Courier New" w:eastAsia="SimSun" w:cs="Courier Ne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Гетманщина</w:t>
            </w:r>
            <w:r>
              <w:rPr>
                <w:rFonts w:hint="default" w:ascii="Courier New" w:hAnsi="Courier New" w:eastAsia="SimSun" w:cs="Courier New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ru-RU"/>
              </w:rPr>
              <w:t>...</w:t>
            </w:r>
          </w:p>
        </w:tc>
      </w:tr>
      <w:tr w14:paraId="1AA31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  <w:shd w:val="clear" w:color="auto" w:fill="auto"/>
            <w:vAlign w:val="top"/>
          </w:tcPr>
          <w:p w14:paraId="62EF7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vertAlign w:val="baseline"/>
                <w:lang w:val="en-US" w:eastAsia="ru-RU"/>
              </w:rPr>
            </w:pPr>
          </w:p>
          <w:p w14:paraId="0D60B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vertAlign w:val="baseline"/>
                <w:lang w:val="en-US" w:eastAsia="ru-RU"/>
              </w:rPr>
              <w:t xml:space="preserve">Европа с конца 80-х гг. XX в. - </w:t>
            </w:r>
          </w:p>
        </w:tc>
      </w:tr>
      <w:tr w14:paraId="1FD69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0" w:type="dxa"/>
            <w:shd w:val="clear" w:color="auto" w:fill="auto"/>
            <w:vAlign w:val="top"/>
          </w:tcPr>
          <w:p w14:paraId="36F06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  <w:t>63.3(4Укр)64-68</w:t>
            </w:r>
          </w:p>
        </w:tc>
        <w:tc>
          <w:tcPr>
            <w:tcW w:w="3185" w:type="dxa"/>
            <w:shd w:val="clear" w:color="auto" w:fill="auto"/>
            <w:vAlign w:val="top"/>
          </w:tcPr>
          <w:p w14:paraId="1BE93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vertAlign w:val="baseline"/>
                <w:lang w:val="en-US" w:eastAsia="ru-RU"/>
              </w:rPr>
              <w:t>-68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  <w:t xml:space="preserve"> Войны</w:t>
            </w:r>
          </w:p>
        </w:tc>
        <w:tc>
          <w:tcPr>
            <w:tcW w:w="4236" w:type="dxa"/>
            <w:shd w:val="clear" w:color="auto" w:fill="auto"/>
            <w:vAlign w:val="top"/>
          </w:tcPr>
          <w:p w14:paraId="15CE6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  <w:t>История Украины - войны</w:t>
            </w:r>
          </w:p>
        </w:tc>
      </w:tr>
      <w:tr w14:paraId="6D212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0" w:type="dxa"/>
            <w:shd w:val="clear" w:color="auto" w:fill="auto"/>
            <w:vAlign w:val="top"/>
          </w:tcPr>
          <w:p w14:paraId="2E89F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  <w:t>63.3(4)64-64</w:t>
            </w:r>
          </w:p>
        </w:tc>
        <w:tc>
          <w:tcPr>
            <w:tcW w:w="3185" w:type="dxa"/>
            <w:shd w:val="clear" w:color="auto" w:fill="auto"/>
            <w:vAlign w:val="top"/>
          </w:tcPr>
          <w:p w14:paraId="001F6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vertAlign w:val="baseline"/>
                <w:lang w:val="en-US" w:eastAsia="ru-RU"/>
              </w:rPr>
              <w:t>-64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  <w:t xml:space="preserve"> Отношения с отдельными странами</w:t>
            </w:r>
          </w:p>
        </w:tc>
        <w:tc>
          <w:tcPr>
            <w:tcW w:w="4236" w:type="dxa"/>
            <w:shd w:val="clear" w:color="auto" w:fill="auto"/>
            <w:vAlign w:val="top"/>
          </w:tcPr>
          <w:p w14:paraId="62FBA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  <w:t>Участие стран Европы, НАТО</w:t>
            </w:r>
          </w:p>
        </w:tc>
      </w:tr>
      <w:tr w14:paraId="2EF14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</w:tcPr>
          <w:p w14:paraId="26BD1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vertAlign w:val="baseline"/>
                <w:lang w:val="en-US" w:eastAsia="ru-RU"/>
              </w:rPr>
            </w:pPr>
          </w:p>
          <w:p w14:paraId="1F11F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vertAlign w:val="baseline"/>
                <w:lang w:val="en-US" w:eastAsia="ru-RU"/>
              </w:rPr>
              <w:t>Россия в 1762-1801 гг.</w:t>
            </w:r>
          </w:p>
        </w:tc>
      </w:tr>
      <w:tr w14:paraId="779F0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0" w:type="dxa"/>
          </w:tcPr>
          <w:p w14:paraId="04406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  <w:t>63.3(2)513-27</w:t>
            </w:r>
          </w:p>
        </w:tc>
        <w:tc>
          <w:tcPr>
            <w:tcW w:w="3185" w:type="dxa"/>
          </w:tcPr>
          <w:p w14:paraId="62F3D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  <w:t>Колонизация Юга России</w:t>
            </w:r>
          </w:p>
        </w:tc>
        <w:tc>
          <w:tcPr>
            <w:tcW w:w="4236" w:type="dxa"/>
          </w:tcPr>
          <w:p w14:paraId="7151E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ru-RU"/>
              </w:rPr>
              <w:t>Освоение Новороссии</w:t>
            </w:r>
          </w:p>
          <w:p w14:paraId="3D0F9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ru-RU"/>
              </w:rPr>
            </w:pPr>
          </w:p>
          <w:p w14:paraId="2F4D6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</w:pPr>
          </w:p>
          <w:p w14:paraId="6EB6B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</w:pPr>
          </w:p>
        </w:tc>
      </w:tr>
      <w:tr w14:paraId="62A09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</w:tcPr>
          <w:p w14:paraId="04D06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vertAlign w:val="baseline"/>
                <w:lang w:val="en-US" w:eastAsia="ru-RU"/>
              </w:rPr>
            </w:pPr>
          </w:p>
          <w:p w14:paraId="1547A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vertAlign w:val="baseline"/>
                <w:lang w:val="en-US" w:eastAsia="ru-RU"/>
              </w:rPr>
              <w:t>Россия с 1992 г. - . Российская Федерация</w:t>
            </w:r>
          </w:p>
        </w:tc>
      </w:tr>
      <w:tr w14:paraId="71608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0" w:type="dxa"/>
          </w:tcPr>
          <w:p w14:paraId="7D8F0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  <w:t>63.3(2)64-3</w:t>
            </w:r>
          </w:p>
        </w:tc>
        <w:tc>
          <w:tcPr>
            <w:tcW w:w="3185" w:type="dxa"/>
          </w:tcPr>
          <w:p w14:paraId="1498D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vertAlign w:val="baseline"/>
                <w:lang w:val="en-US" w:eastAsia="ru-RU"/>
              </w:rPr>
              <w:t>- 3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  <w:t xml:space="preserve"> Политический строй. Внутренняя политика. Внутренние отношения</w:t>
            </w:r>
          </w:p>
        </w:tc>
        <w:tc>
          <w:tcPr>
            <w:tcW w:w="4236" w:type="dxa"/>
          </w:tcPr>
          <w:p w14:paraId="6D1B8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i/>
                <w:iCs/>
                <w:sz w:val="24"/>
                <w:szCs w:val="24"/>
                <w:vertAlign w:val="baseline"/>
                <w:lang w:val="en-US" w:eastAsia="ru-RU"/>
              </w:rPr>
              <w:t>...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  <w:t>Воссоединение Республики Крым и г. Севастополя с Российской Федерацией (2014 г.). Вхождение в состав России Донецкой Народной Республики, Луганской Народной Республики, Запорожской и Херсонской областей (2022 г.)</w:t>
            </w:r>
          </w:p>
        </w:tc>
      </w:tr>
      <w:tr w14:paraId="213D1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0" w:type="dxa"/>
          </w:tcPr>
          <w:p w14:paraId="35D9E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  <w:t>63.3(2)64-68</w:t>
            </w:r>
          </w:p>
        </w:tc>
        <w:tc>
          <w:tcPr>
            <w:tcW w:w="3185" w:type="dxa"/>
          </w:tcPr>
          <w:p w14:paraId="0E48A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vertAlign w:val="baseline"/>
                <w:lang w:val="en-US" w:eastAsia="ru-RU"/>
              </w:rPr>
              <w:t>-68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  <w:t xml:space="preserve"> Военные операции Российской Федерации с 1992 г.</w:t>
            </w:r>
          </w:p>
        </w:tc>
        <w:tc>
          <w:tcPr>
            <w:tcW w:w="4236" w:type="dxa"/>
          </w:tcPr>
          <w:p w14:paraId="48E26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  <w:t xml:space="preserve">Литература общего характера о СВО: </w:t>
            </w:r>
          </w:p>
          <w:p w14:paraId="1BE52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  <w:t>Операция РФ по принуждению Грузии к миру (2008 г.), российская военная операция в Сирии (2015-2017 гг.), специальная военная операция РФ на Украине (2022 г. -). Вторжение ВСУ в Курскую область, диверсионные действия в Брянской, Белгородской и др. областях. Преступления ВСУ (минирование жилых районов, обстрелы гражданских объектов и др.)</w:t>
            </w:r>
          </w:p>
        </w:tc>
      </w:tr>
      <w:tr w14:paraId="42319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0" w:type="dxa"/>
            <w:shd w:val="clear" w:color="auto" w:fill="auto"/>
            <w:vAlign w:val="top"/>
          </w:tcPr>
          <w:p w14:paraId="01563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  <w:t>63.3(2)64-68,8</w:t>
            </w:r>
          </w:p>
        </w:tc>
        <w:tc>
          <w:tcPr>
            <w:tcW w:w="3185" w:type="dxa"/>
            <w:shd w:val="clear" w:color="auto" w:fill="auto"/>
            <w:vAlign w:val="top"/>
          </w:tcPr>
          <w:p w14:paraId="74CE7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vertAlign w:val="baseline"/>
                <w:lang w:val="en-US" w:eastAsia="ru-RU" w:bidi="ar-SA"/>
              </w:rPr>
              <w:t>,8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 w:bidi="ar-SA"/>
              </w:rPr>
              <w:t xml:space="preserve"> Персоналии участников войны</w:t>
            </w:r>
          </w:p>
        </w:tc>
        <w:tc>
          <w:tcPr>
            <w:tcW w:w="4236" w:type="dxa"/>
          </w:tcPr>
          <w:p w14:paraId="7180B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  <w:t>Персоналии героев и участников СВО, в т. ч. представители отдельных видов вооруженных сил и уроженцев отдельных местностей</w:t>
            </w:r>
          </w:p>
        </w:tc>
      </w:tr>
      <w:tr w14:paraId="0944A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</w:tcPr>
          <w:p w14:paraId="47951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vertAlign w:val="baseline"/>
                <w:lang w:val="en-US" w:eastAsia="ru-RU"/>
              </w:rPr>
            </w:pPr>
          </w:p>
          <w:p w14:paraId="0CDD8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vertAlign w:val="baseline"/>
                <w:lang w:val="en-US" w:eastAsia="ru-RU"/>
              </w:rPr>
              <w:t>Политика и современное политическое положение Российской Федерации</w:t>
            </w:r>
          </w:p>
        </w:tc>
      </w:tr>
      <w:tr w14:paraId="511C5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0" w:type="dxa"/>
          </w:tcPr>
          <w:p w14:paraId="637CB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  <w:t>66.2(2Рос)</w:t>
            </w:r>
          </w:p>
        </w:tc>
        <w:tc>
          <w:tcPr>
            <w:tcW w:w="3185" w:type="dxa"/>
          </w:tcPr>
          <w:p w14:paraId="608E1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</w:pPr>
          </w:p>
        </w:tc>
        <w:tc>
          <w:tcPr>
            <w:tcW w:w="4236" w:type="dxa"/>
          </w:tcPr>
          <w:p w14:paraId="6AFA7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  <w:t>Вопросы национальной безопасности страны как в целом, так и различные аспекты экономической, информационной, международной, дипломатической и т. д.  сторон жизни</w:t>
            </w:r>
          </w:p>
          <w:p w14:paraId="3011C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</w:pPr>
          </w:p>
          <w:p w14:paraId="42A6F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</w:pPr>
          </w:p>
        </w:tc>
      </w:tr>
      <w:tr w14:paraId="70EB4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</w:tcPr>
          <w:p w14:paraId="7B804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</w:pPr>
          </w:p>
          <w:p w14:paraId="33BB6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vertAlign w:val="baseline"/>
                <w:lang w:val="en-US" w:eastAsia="ru-RU"/>
              </w:rPr>
              <w:t>Международные отношения. Внешняя политика. Дипломатия</w:t>
            </w:r>
          </w:p>
        </w:tc>
      </w:tr>
      <w:tr w14:paraId="42808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0" w:type="dxa"/>
          </w:tcPr>
          <w:p w14:paraId="087DF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  <w:t>66.4(0),3</w:t>
            </w:r>
          </w:p>
        </w:tc>
        <w:tc>
          <w:tcPr>
            <w:tcW w:w="3185" w:type="dxa"/>
          </w:tcPr>
          <w:p w14:paraId="502F8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  <w:t>Международные отношения и внешняя политика в целом</w:t>
            </w:r>
          </w:p>
          <w:p w14:paraId="1A978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vertAlign w:val="baseline"/>
                <w:lang w:val="en-US" w:eastAsia="ru-RU"/>
              </w:rPr>
              <w:t>,3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  <w:t xml:space="preserve"> Международные проблемы</w:t>
            </w:r>
          </w:p>
        </w:tc>
        <w:tc>
          <w:tcPr>
            <w:tcW w:w="4236" w:type="dxa"/>
          </w:tcPr>
          <w:p w14:paraId="4D461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  <w:t xml:space="preserve">Влияние СВО на международные отношения </w:t>
            </w:r>
          </w:p>
        </w:tc>
      </w:tr>
      <w:tr w14:paraId="343C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0" w:type="dxa"/>
            <w:shd w:val="clear" w:color="auto" w:fill="auto"/>
            <w:vAlign w:val="top"/>
          </w:tcPr>
          <w:p w14:paraId="6A393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 w:bidi="ar-SA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  <w:t>66.4(2Рос),301</w:t>
            </w:r>
          </w:p>
        </w:tc>
        <w:tc>
          <w:tcPr>
            <w:tcW w:w="3185" w:type="dxa"/>
            <w:shd w:val="clear" w:color="auto" w:fill="auto"/>
            <w:vAlign w:val="top"/>
          </w:tcPr>
          <w:p w14:paraId="73F4F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  <w:t>Международные отношения и внешняя политика Российской Федерации</w:t>
            </w:r>
          </w:p>
          <w:p w14:paraId="13C1B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  <w:t>,301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  <w:t xml:space="preserve"> Проблемы войны и мира</w:t>
            </w:r>
          </w:p>
        </w:tc>
        <w:tc>
          <w:tcPr>
            <w:tcW w:w="4236" w:type="dxa"/>
            <w:shd w:val="clear" w:color="auto" w:fill="auto"/>
            <w:vAlign w:val="top"/>
          </w:tcPr>
          <w:p w14:paraId="53BF0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14:paraId="0435D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0" w:type="dxa"/>
            <w:shd w:val="clear" w:color="auto" w:fill="auto"/>
            <w:vAlign w:val="top"/>
          </w:tcPr>
          <w:p w14:paraId="2F537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  <w:t>66.4(4)</w:t>
            </w:r>
          </w:p>
        </w:tc>
        <w:tc>
          <w:tcPr>
            <w:tcW w:w="3185" w:type="dxa"/>
            <w:shd w:val="clear" w:color="auto" w:fill="auto"/>
            <w:vAlign w:val="top"/>
          </w:tcPr>
          <w:p w14:paraId="341CD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  <w:t>Международные отношения и внешняя политика стран Европы</w:t>
            </w:r>
          </w:p>
        </w:tc>
        <w:tc>
          <w:tcPr>
            <w:tcW w:w="4236" w:type="dxa"/>
            <w:shd w:val="clear" w:color="auto" w:fill="auto"/>
            <w:vAlign w:val="top"/>
          </w:tcPr>
          <w:p w14:paraId="3B859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  <w:t xml:space="preserve">Политика Украины и стран Европы по отношению к Российской Федерации </w:t>
            </w:r>
          </w:p>
        </w:tc>
      </w:tr>
      <w:tr w14:paraId="43397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  <w:shd w:val="clear" w:color="auto" w:fill="auto"/>
            <w:vAlign w:val="top"/>
          </w:tcPr>
          <w:p w14:paraId="1B23F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</w:pPr>
          </w:p>
          <w:p w14:paraId="28F00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  <w:t>Военное дело. Военная наука</w:t>
            </w:r>
          </w:p>
        </w:tc>
      </w:tr>
      <w:tr w14:paraId="79FD9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0" w:type="dxa"/>
            <w:shd w:val="clear" w:color="auto" w:fill="auto"/>
            <w:vAlign w:val="top"/>
          </w:tcPr>
          <w:p w14:paraId="3EDA0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  <w:t>68.2</w:t>
            </w:r>
          </w:p>
        </w:tc>
        <w:tc>
          <w:tcPr>
            <w:tcW w:w="3185" w:type="dxa"/>
            <w:shd w:val="clear" w:color="auto" w:fill="auto"/>
            <w:vAlign w:val="top"/>
          </w:tcPr>
          <w:p w14:paraId="50133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  <w:t xml:space="preserve">Теория военного искусства </w:t>
            </w:r>
          </w:p>
        </w:tc>
        <w:tc>
          <w:tcPr>
            <w:tcW w:w="4236" w:type="dxa"/>
            <w:shd w:val="clear" w:color="auto" w:fill="auto"/>
            <w:vAlign w:val="top"/>
          </w:tcPr>
          <w:p w14:paraId="4D0AE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  <w:t>Анализ боевых действий на СВО</w:t>
            </w:r>
          </w:p>
        </w:tc>
      </w:tr>
      <w:tr w14:paraId="2AE4C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0" w:type="dxa"/>
            <w:shd w:val="clear" w:color="auto" w:fill="auto"/>
            <w:vAlign w:val="top"/>
          </w:tcPr>
          <w:p w14:paraId="6067D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  <w:t>68.49л</w:t>
            </w:r>
          </w:p>
        </w:tc>
        <w:tc>
          <w:tcPr>
            <w:tcW w:w="3185" w:type="dxa"/>
            <w:shd w:val="clear" w:color="auto" w:fill="auto"/>
            <w:vAlign w:val="top"/>
          </w:tcPr>
          <w:p w14:paraId="3AC18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  <w:t>Военная работа среди гражданского населения.</w:t>
            </w:r>
          </w:p>
          <w:p w14:paraId="7D4E3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  <w:t>л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  <w:t xml:space="preserve"> Организации содействия армии и флоту</w:t>
            </w:r>
          </w:p>
        </w:tc>
        <w:tc>
          <w:tcPr>
            <w:tcW w:w="4236" w:type="dxa"/>
            <w:shd w:val="clear" w:color="auto" w:fill="auto"/>
            <w:vAlign w:val="top"/>
          </w:tcPr>
          <w:p w14:paraId="637EC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  <w:t xml:space="preserve">Волонтерское движение в зоне СВО: помощь в госпиталях, производство тактических приспособлений для армии, пошив и вязание вещей и др. </w:t>
            </w:r>
          </w:p>
        </w:tc>
      </w:tr>
      <w:tr w14:paraId="2D3B6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0" w:type="dxa"/>
            <w:shd w:val="clear" w:color="auto" w:fill="auto"/>
            <w:vAlign w:val="top"/>
          </w:tcPr>
          <w:p w14:paraId="32BCD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  <w:t>60.9</w:t>
            </w:r>
          </w:p>
        </w:tc>
        <w:tc>
          <w:tcPr>
            <w:tcW w:w="3185" w:type="dxa"/>
            <w:shd w:val="clear" w:color="auto" w:fill="auto"/>
            <w:vAlign w:val="top"/>
          </w:tcPr>
          <w:p w14:paraId="1B70E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  <w:t>Социальная защита. Социальная работа</w:t>
            </w:r>
          </w:p>
        </w:tc>
        <w:tc>
          <w:tcPr>
            <w:tcW w:w="4236" w:type="dxa"/>
            <w:shd w:val="clear" w:color="auto" w:fill="auto"/>
            <w:vAlign w:val="top"/>
          </w:tcPr>
          <w:p w14:paraId="6378A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  <w:t xml:space="preserve">НО! 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  <w:t>Гуманитарная помощь семьям участников СВО, населению новым субъектам Российской Федерации</w:t>
            </w:r>
          </w:p>
        </w:tc>
      </w:tr>
      <w:tr w14:paraId="26FCF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  <w:shd w:val="clear" w:color="auto" w:fill="auto"/>
            <w:vAlign w:val="top"/>
          </w:tcPr>
          <w:p w14:paraId="0C10D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</w:pPr>
          </w:p>
          <w:p w14:paraId="7847F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  <w:t>Художественная литература</w:t>
            </w:r>
          </w:p>
        </w:tc>
      </w:tr>
      <w:tr w14:paraId="24A7F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0" w:type="dxa"/>
            <w:shd w:val="clear" w:color="auto" w:fill="auto"/>
            <w:vAlign w:val="top"/>
          </w:tcPr>
          <w:p w14:paraId="3897C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  <w:t xml:space="preserve">84... </w:t>
            </w:r>
          </w:p>
        </w:tc>
        <w:tc>
          <w:tcPr>
            <w:tcW w:w="3185" w:type="dxa"/>
            <w:shd w:val="clear" w:color="auto" w:fill="auto"/>
            <w:vAlign w:val="top"/>
          </w:tcPr>
          <w:p w14:paraId="1D456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  <w:t xml:space="preserve">-46 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  <w:t>Художественная публицистика</w:t>
            </w:r>
          </w:p>
        </w:tc>
        <w:tc>
          <w:tcPr>
            <w:tcW w:w="4236" w:type="dxa"/>
            <w:shd w:val="clear" w:color="auto" w:fill="auto"/>
            <w:vAlign w:val="top"/>
          </w:tcPr>
          <w:p w14:paraId="40713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  <w:t>Фронтовые повести, рассказы, заметки, размышления, дневники участников, волонтеров, а также публикации о СВО глазами детей, военных священников и других лиц</w:t>
            </w:r>
          </w:p>
        </w:tc>
      </w:tr>
    </w:tbl>
    <w:p w14:paraId="4F9A72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en-US" w:eastAsia="ru-RU"/>
        </w:rPr>
      </w:pPr>
    </w:p>
    <w:p w14:paraId="051758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en-US" w:eastAsia="ru-RU"/>
        </w:rPr>
      </w:pPr>
    </w:p>
    <w:p w14:paraId="4298DE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en-US" w:eastAsia="ru-RU"/>
        </w:rPr>
      </w:pPr>
    </w:p>
    <w:p w14:paraId="7C88FF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en-US" w:eastAsia="ru-RU"/>
        </w:rPr>
      </w:pPr>
    </w:p>
    <w:p w14:paraId="2F7F8F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en-US" w:eastAsia="ru-RU"/>
        </w:rPr>
      </w:pPr>
    </w:p>
    <w:p w14:paraId="4B7873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en-US" w:eastAsia="ru-RU"/>
        </w:rPr>
      </w:pPr>
    </w:p>
    <w:p w14:paraId="25056A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en-US" w:eastAsia="ru-RU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3185"/>
        <w:gridCol w:w="4236"/>
      </w:tblGrid>
      <w:tr w14:paraId="63A19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3"/>
            <w:shd w:val="clear" w:color="auto" w:fill="auto"/>
            <w:vAlign w:val="top"/>
          </w:tcPr>
          <w:p w14:paraId="776D7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vertAlign w:val="baseline"/>
                <w:lang w:val="en-US" w:eastAsia="ru-RU"/>
              </w:rPr>
            </w:pPr>
          </w:p>
          <w:p w14:paraId="02830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vertAlign w:val="baseline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vertAlign w:val="baseline"/>
                <w:lang w:val="en-US" w:eastAsia="ru-RU"/>
              </w:rPr>
              <w:t>ТТД</w:t>
            </w:r>
          </w:p>
        </w:tc>
      </w:tr>
      <w:tr w14:paraId="77435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0" w:type="dxa"/>
            <w:shd w:val="clear" w:color="auto" w:fill="auto"/>
            <w:vAlign w:val="top"/>
          </w:tcPr>
          <w:p w14:paraId="6ED71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  <w:t xml:space="preserve">(2Рос.Дон) 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  <w:t xml:space="preserve">   </w:t>
            </w:r>
          </w:p>
        </w:tc>
        <w:tc>
          <w:tcPr>
            <w:tcW w:w="3185" w:type="dxa"/>
            <w:shd w:val="clear" w:color="auto" w:fill="auto"/>
            <w:vAlign w:val="top"/>
          </w:tcPr>
          <w:p w14:paraId="514AD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  <w:t>Донецкая Народная Республика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  <w:t>(ДНР)</w:t>
            </w:r>
          </w:p>
        </w:tc>
        <w:tc>
          <w:tcPr>
            <w:tcW w:w="4236" w:type="dxa"/>
            <w:shd w:val="clear" w:color="auto" w:fill="auto"/>
            <w:vAlign w:val="top"/>
          </w:tcPr>
          <w:p w14:paraId="4C994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</w:pPr>
          </w:p>
        </w:tc>
      </w:tr>
      <w:tr w14:paraId="18F6F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0" w:type="dxa"/>
            <w:shd w:val="clear" w:color="auto" w:fill="auto"/>
            <w:vAlign w:val="top"/>
          </w:tcPr>
          <w:p w14:paraId="155D7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  <w:t>(2Рос.Луг)</w:t>
            </w:r>
          </w:p>
        </w:tc>
        <w:tc>
          <w:tcPr>
            <w:tcW w:w="3185" w:type="dxa"/>
            <w:shd w:val="clear" w:color="auto" w:fill="auto"/>
            <w:vAlign w:val="top"/>
          </w:tcPr>
          <w:p w14:paraId="0A22F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  <w:t>Луганская Народная Республика (ЛНР)</w:t>
            </w:r>
          </w:p>
        </w:tc>
        <w:tc>
          <w:tcPr>
            <w:tcW w:w="4236" w:type="dxa"/>
            <w:shd w:val="clear" w:color="auto" w:fill="auto"/>
            <w:vAlign w:val="top"/>
          </w:tcPr>
          <w:p w14:paraId="6CCB3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</w:pPr>
          </w:p>
        </w:tc>
      </w:tr>
      <w:tr w14:paraId="234CE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0" w:type="dxa"/>
            <w:shd w:val="clear" w:color="auto" w:fill="auto"/>
            <w:vAlign w:val="top"/>
          </w:tcPr>
          <w:p w14:paraId="5D1A0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single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  <w:t xml:space="preserve">(2Рос-4Зар) </w:t>
            </w:r>
          </w:p>
        </w:tc>
        <w:tc>
          <w:tcPr>
            <w:tcW w:w="3185" w:type="dxa"/>
            <w:shd w:val="clear" w:color="auto" w:fill="auto"/>
            <w:vAlign w:val="top"/>
          </w:tcPr>
          <w:p w14:paraId="33E65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single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  <w:t>Запорожская область</w:t>
            </w:r>
          </w:p>
        </w:tc>
        <w:tc>
          <w:tcPr>
            <w:tcW w:w="4236" w:type="dxa"/>
            <w:shd w:val="clear" w:color="auto" w:fill="auto"/>
            <w:vAlign w:val="top"/>
          </w:tcPr>
          <w:p w14:paraId="0DF13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</w:pPr>
          </w:p>
        </w:tc>
      </w:tr>
      <w:tr w14:paraId="72B58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0" w:type="dxa"/>
            <w:shd w:val="clear" w:color="auto" w:fill="auto"/>
            <w:vAlign w:val="top"/>
          </w:tcPr>
          <w:p w14:paraId="5A983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single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  <w:t xml:space="preserve">(2Рос-4Зап)  </w:t>
            </w:r>
          </w:p>
        </w:tc>
        <w:tc>
          <w:tcPr>
            <w:tcW w:w="3185" w:type="dxa"/>
            <w:shd w:val="clear" w:color="auto" w:fill="auto"/>
            <w:vAlign w:val="top"/>
          </w:tcPr>
          <w:p w14:paraId="07DB7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single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  <w:t>Запорожская область</w:t>
            </w:r>
          </w:p>
        </w:tc>
        <w:tc>
          <w:tcPr>
            <w:tcW w:w="4236" w:type="dxa"/>
            <w:shd w:val="clear" w:color="auto" w:fill="auto"/>
            <w:vAlign w:val="top"/>
          </w:tcPr>
          <w:p w14:paraId="65F29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  <w:t xml:space="preserve">НО! </w:t>
            </w: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  <w:t>Западно-Сибирский край (1930-1937)</w:t>
            </w:r>
          </w:p>
        </w:tc>
      </w:tr>
      <w:tr w14:paraId="1E123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0" w:type="dxa"/>
            <w:shd w:val="clear" w:color="auto" w:fill="auto"/>
            <w:vAlign w:val="top"/>
          </w:tcPr>
          <w:p w14:paraId="536A5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  <w:t xml:space="preserve">(2Рос-4Хес)  </w:t>
            </w:r>
          </w:p>
        </w:tc>
        <w:tc>
          <w:tcPr>
            <w:tcW w:w="3185" w:type="dxa"/>
            <w:shd w:val="clear" w:color="auto" w:fill="auto"/>
            <w:vAlign w:val="top"/>
          </w:tcPr>
          <w:p w14:paraId="79648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  <w:t>Херсонская область</w:t>
            </w:r>
          </w:p>
        </w:tc>
        <w:tc>
          <w:tcPr>
            <w:tcW w:w="4236" w:type="dxa"/>
            <w:shd w:val="clear" w:color="auto" w:fill="auto"/>
            <w:vAlign w:val="top"/>
          </w:tcPr>
          <w:p w14:paraId="4BA4D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</w:pPr>
          </w:p>
        </w:tc>
      </w:tr>
      <w:tr w14:paraId="72EC7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0" w:type="dxa"/>
            <w:shd w:val="clear" w:color="auto" w:fill="auto"/>
            <w:vAlign w:val="top"/>
          </w:tcPr>
          <w:p w14:paraId="0B2B8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  <w:t>(4Укр55)</w:t>
            </w:r>
          </w:p>
        </w:tc>
        <w:tc>
          <w:tcPr>
            <w:tcW w:w="3185" w:type="dxa"/>
            <w:shd w:val="clear" w:color="auto" w:fill="auto"/>
            <w:vAlign w:val="top"/>
          </w:tcPr>
          <w:p w14:paraId="3C904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i w:val="0"/>
                <w:iCs w:val="0"/>
                <w:caps w:val="0"/>
                <w:strike/>
                <w:dstrike w:val="0"/>
                <w:color w:val="000000"/>
                <w:spacing w:val="0"/>
                <w:sz w:val="24"/>
                <w:szCs w:val="24"/>
              </w:rPr>
              <w:t>Донецкий угольный бассейн в пределах Украины. Донецкий кряж</w:t>
            </w:r>
          </w:p>
        </w:tc>
        <w:tc>
          <w:tcPr>
            <w:tcW w:w="4236" w:type="dxa"/>
            <w:shd w:val="clear" w:color="auto" w:fill="auto"/>
            <w:vAlign w:val="top"/>
          </w:tcPr>
          <w:p w14:paraId="2017C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  <w:t>Деление исключено</w:t>
            </w:r>
          </w:p>
        </w:tc>
      </w:tr>
      <w:tr w14:paraId="3433F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0" w:type="dxa"/>
            <w:shd w:val="clear" w:color="auto" w:fill="auto"/>
            <w:vAlign w:val="top"/>
          </w:tcPr>
          <w:p w14:paraId="5CAEC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Courier New" w:hAnsi="Courier New" w:eastAsia="SimSun" w:cs="Courier New"/>
                <w:b/>
                <w:bCs/>
                <w:sz w:val="24"/>
                <w:szCs w:val="24"/>
                <w:lang w:val="en-US" w:eastAsia="ru-RU"/>
              </w:rPr>
              <w:t>(4Укр7)</w:t>
            </w:r>
          </w:p>
        </w:tc>
        <w:tc>
          <w:tcPr>
            <w:tcW w:w="3185" w:type="dxa"/>
            <w:shd w:val="clear" w:color="auto" w:fill="auto"/>
            <w:vAlign w:val="top"/>
          </w:tcPr>
          <w:p w14:paraId="74775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strike/>
                <w:dstrike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Courier New" w:hAnsi="Courier New" w:eastAsia="SimSun" w:cs="Courier New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Причерноморский р-н. </w:t>
            </w:r>
            <w:r>
              <w:rPr>
                <w:rFonts w:hint="default" w:ascii="Courier New" w:hAnsi="Courier New" w:eastAsia="SimSun" w:cs="Courier New"/>
                <w:i w:val="0"/>
                <w:iCs w:val="0"/>
                <w:caps w:val="0"/>
                <w:strike/>
                <w:dstrike w:val="0"/>
                <w:color w:val="000000"/>
                <w:spacing w:val="0"/>
                <w:sz w:val="24"/>
                <w:szCs w:val="24"/>
              </w:rPr>
              <w:t>и Приазовье в пределах Украины.</w:t>
            </w:r>
          </w:p>
        </w:tc>
        <w:tc>
          <w:tcPr>
            <w:tcW w:w="4236" w:type="dxa"/>
            <w:shd w:val="clear" w:color="auto" w:fill="auto"/>
            <w:vAlign w:val="top"/>
          </w:tcPr>
          <w:p w14:paraId="69831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Courier New" w:hAnsi="Courier New" w:eastAsia="SimSun" w:cs="Courier New"/>
                <w:b w:val="0"/>
                <w:bCs w:val="0"/>
                <w:sz w:val="24"/>
                <w:szCs w:val="24"/>
                <w:lang w:val="en-US" w:eastAsia="ru-RU"/>
              </w:rPr>
            </w:pPr>
          </w:p>
        </w:tc>
      </w:tr>
    </w:tbl>
    <w:p w14:paraId="731897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80" w:firstLineChars="200"/>
        <w:jc w:val="both"/>
        <w:textAlignment w:val="auto"/>
        <w:rPr>
          <w:rFonts w:hint="default" w:ascii="Courier New" w:hAnsi="Courier New" w:eastAsia="SimSun" w:cs="Courier New"/>
          <w:b w:val="0"/>
          <w:bCs w:val="0"/>
          <w:sz w:val="24"/>
          <w:szCs w:val="24"/>
          <w:lang w:val="en-US" w:eastAsia="ru-RU"/>
        </w:rPr>
      </w:pPr>
    </w:p>
    <w:sectPr>
      <w:headerReference r:id="rId5" w:type="default"/>
      <w:footerReference r:id="rId6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doni MT Black">
    <w:panose1 w:val="02070A03080606020203"/>
    <w:charset w:val="00"/>
    <w:family w:val="roman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84575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76" w:lineRule="auto"/>
      </w:pPr>
      <w:r>
        <w:separator/>
      </w:r>
    </w:p>
  </w:footnote>
  <w:footnote w:type="continuationSeparator" w:id="3">
    <w:p>
      <w:pPr>
        <w:spacing w:before="0" w:after="0" w:line="276" w:lineRule="auto"/>
      </w:pPr>
      <w:r>
        <w:continuationSeparator/>
      </w:r>
    </w:p>
  </w:footnote>
  <w:footnote w:id="0">
    <w:p w14:paraId="48022724">
      <w:pPr>
        <w:pStyle w:val="8"/>
        <w:snapToGrid w:val="0"/>
        <w:rPr>
          <w:rFonts w:hint="default"/>
          <w:lang w:val="ru-RU"/>
        </w:rPr>
      </w:pPr>
      <w:r>
        <w:rPr>
          <w:rStyle w:val="5"/>
        </w:rPr>
        <w:footnoteRef/>
      </w:r>
      <w:r>
        <w:t xml:space="preserve"> </w:t>
      </w:r>
      <w:r>
        <w:rPr>
          <w:lang w:val="ru-RU"/>
        </w:rPr>
        <w:t>Представлены</w:t>
      </w:r>
      <w:r>
        <w:rPr>
          <w:rFonts w:hint="default"/>
          <w:lang w:val="ru-RU"/>
        </w:rPr>
        <w:t xml:space="preserve"> общие шифры. </w:t>
      </w:r>
      <w:r>
        <w:rPr>
          <w:lang w:val="ru-RU"/>
        </w:rPr>
        <w:t>Смотреть</w:t>
      </w:r>
      <w:r>
        <w:rPr>
          <w:rFonts w:hint="default"/>
          <w:lang w:val="ru-RU"/>
        </w:rPr>
        <w:t xml:space="preserve"> на содержательную часть каждого издания.</w:t>
      </w:r>
    </w:p>
    <w:p w14:paraId="4152767D">
      <w:pPr>
        <w:pStyle w:val="8"/>
        <w:snapToGrid w:val="0"/>
        <w:rPr>
          <w:rFonts w:hint="default"/>
          <w:lang w:val="ru-RU"/>
        </w:rPr>
      </w:pPr>
      <w:r>
        <w:rPr>
          <w:rFonts w:hint="default"/>
          <w:lang w:val="ru-RU"/>
        </w:rPr>
        <w:t>В шифры внесены изменения и дополнения в электронные таблицы ББК (2024 г).</w:t>
      </w:r>
    </w:p>
    <w:p w14:paraId="339D48B2">
      <w:pPr>
        <w:pStyle w:val="8"/>
        <w:snapToGrid w:val="0"/>
        <w:rPr>
          <w:rFonts w:hint="default"/>
          <w:lang w:val="ru-R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3F08B">
    <w:pPr>
      <w:pStyle w:val="9"/>
    </w:pPr>
    <w:bookmarkStart w:id="0" w:name="_GoBack"/>
    <w:bookmarkEnd w:id="0"/>
    <w:r>
      <w:rPr>
        <w:lang w:eastAsia="ru-RU"/>
      </w:rPr>
      <w:pict>
        <v:group id="Группа 196" o:spid="_x0000_s4097" o:spt="203" style="position:absolute;left:0pt;margin-left:236.5pt;margin-top:9pt;height:38.6pt;width:347.9pt;mso-position-horizontal-relative:page;mso-position-vertical-relative:page;z-index:251659264;mso-width-relative:page;mso-height-relative:page;" coordorigin="330,308" coordsize="11586,835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">
          <o:lock v:ext="edit"/>
          <v:rect id="Rectangle 197" o:spid="_x0000_s4098" o:spt="1" style="position:absolute;left:637;top:360;height:720;width:9169;v-text-anchor:middle;" fillcolor="#E36C0A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GkqMQA&#10;AADaAAAADwAAAGRycy9kb3ducmV2LnhtbESPQWvCQBSE74L/YXlCb7rRVg1pNiJCoJdCtYXi7ZF9&#10;TUKyb2N2m6T/vlsQehxm5hsmPUymFQP1rrasYL2KQBAXVtdcKvh4z5cxCOeRNbaWScEPOThk81mK&#10;ibYjn2m4+FIECLsEFVTed4mUrqjIoFvZjjh4X7Y36IPsS6l7HAPctHITRTtpsOawUGFHp4qK5vJt&#10;FGy1vsZFt989fY7546lxb6+37VGph8V0fAbhafL/4Xv7RSvYwN+Vc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hpKjEAAAA2gAAAA8AAAAAAAAAAAAAAAAAmAIAAGRycy9k&#10;b3ducmV2LnhtbFBLBQYAAAAABAAEAPUAAACJAwAAAAA=&#10;">
            <v:path/>
            <v:fill on="t" focussize="0,0"/>
            <v:stroke on="f"/>
            <v:imagedata o:title=""/>
            <o:lock v:ext="edit"/>
            <v:textbox>
              <w:txbxContent>
                <w:p w14:paraId="0068C534">
                  <w:pPr>
                    <w:pStyle w:val="9"/>
                    <w:rPr>
                      <w:rFonts w:ascii="Bodoni MT Black" w:hAnsi="Bodoni MT Black"/>
                      <w:i/>
                      <w:sz w:val="18"/>
                      <w:szCs w:val="28"/>
                    </w:rPr>
                  </w:pPr>
                  <w:sdt>
                    <w:sdtPr>
                      <w:rPr>
                        <w:rFonts w:ascii="Bodoni MT Black" w:hAnsi="Bodoni MT Black"/>
                        <w:i/>
                        <w:sz w:val="18"/>
                        <w:szCs w:val="28"/>
                      </w:rPr>
                      <w:alias w:val="Название"/>
                      <w:id w:val="-1798601957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>
                      <w:rPr>
                        <w:rFonts w:ascii="Bodoni MT Black" w:hAnsi="Bodoni MT Black"/>
                        <w:i/>
                        <w:sz w:val="18"/>
                        <w:szCs w:val="28"/>
                      </w:rPr>
                    </w:sdtEndPr>
                    <w:sdtContent>
                      <w:r>
                        <w:rPr>
                          <w:rFonts w:ascii="Times New Roman" w:hAnsi="Times New Roman"/>
                          <w:i/>
                          <w:sz w:val="18"/>
                          <w:szCs w:val="28"/>
                        </w:rPr>
                        <w:t>МЕТОДИЧЕСКИЕ РЕКОМЕНДАЦИИ</w:t>
                      </w:r>
                    </w:sdtContent>
                  </w:sdt>
                </w:p>
                <w:p w14:paraId="364AD6FC">
                  <w:pPr>
                    <w:pStyle w:val="9"/>
                    <w:rPr>
                      <w:rFonts w:ascii="Bodoni MT Black" w:hAnsi="Bodoni MT Black"/>
                      <w:i/>
                      <w:sz w:val="1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28"/>
                    </w:rPr>
                    <w:t>Центра каталогизации документов библиотечного фонда ДГПБ</w:t>
                  </w:r>
                </w:p>
              </w:txbxContent>
            </v:textbox>
          </v:rect>
          <v:rect id="Rectangle 198" o:spid="_x0000_s4099" o:spt="1" style="position:absolute;left:10004;top:360;height:720;width:1732;v-text-anchor:middle;" fillcolor="#9BBB59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d2iMMA&#10;AADaAAAADwAAAGRycy9kb3ducmV2LnhtbESP3WrCQBSE7wXfYTmCd7rxhyKpq5QWoYLSNvYBjtlj&#10;Epo9G3a3Jvr0riB4OczMN8xy3ZlanMn5yrKCyTgBQZxbXXGh4PewGS1A+ICssbZMCi7kYb3q95aY&#10;atvyD52zUIgIYZ+igjKEJpXS5yUZ9GPbEEfvZJ3BEKUrpHbYRrip5TRJXqTBiuNCiQ29l5T/Zf9G&#10;wd7Kb7mriuOk5eTjcv2ab52ZKzUcdG+vIAJ14Rl+tD+1ghncr8Qb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d2iMMAAADaAAAADwAAAAAAAAAAAAAAAACYAgAAZHJzL2Rv&#10;d25yZXYueG1sUEsFBgAAAAAEAAQA9QAAAIgDAAAAAA==&#10;">
            <v:path/>
            <v:fill on="t" focussize="0,0"/>
            <v:stroke on="f"/>
            <v:imagedata o:title=""/>
            <o:lock v:ext="edit"/>
            <v:textbox>
              <w:txbxContent>
                <w:p w14:paraId="682EAEC0">
                  <w:pPr>
                    <w:pStyle w:val="9"/>
                    <w:rPr>
                      <w:b/>
                      <w:sz w:val="14"/>
                    </w:rPr>
                  </w:pPr>
                  <w:r>
                    <w:rPr>
                      <w:b/>
                      <w:sz w:val="14"/>
                      <w:lang w:val="ru-RU"/>
                    </w:rPr>
                    <w:t>октябрь</w:t>
                  </w:r>
                  <w:r>
                    <w:rPr>
                      <w:b/>
                      <w:sz w:val="14"/>
                    </w:rPr>
                    <w:t xml:space="preserve">, </w:t>
                  </w:r>
                </w:p>
                <w:p w14:paraId="2EFFEB8B">
                  <w:pPr>
                    <w:pStyle w:val="9"/>
                    <w:rPr>
                      <w:rFonts w:hint="default"/>
                      <w:b/>
                      <w:sz w:val="14"/>
                      <w:lang w:val="ru-RU"/>
                    </w:rPr>
                  </w:pPr>
                  <w:r>
                    <w:rPr>
                      <w:b/>
                      <w:sz w:val="14"/>
                    </w:rPr>
                    <w:t>202</w:t>
                  </w:r>
                  <w:r>
                    <w:rPr>
                      <w:rFonts w:hint="default"/>
                      <w:b/>
                      <w:sz w:val="14"/>
                      <w:lang w:val="ru-RU"/>
                    </w:rPr>
                    <w:t>5</w:t>
                  </w:r>
                  <w:r>
                    <w:rPr>
                      <w:b/>
                      <w:sz w:val="14"/>
                    </w:rPr>
                    <w:t>, №</w:t>
                  </w:r>
                  <w:r>
                    <w:rPr>
                      <w:rFonts w:hint="default"/>
                      <w:b/>
                      <w:sz w:val="14"/>
                      <w:lang w:val="ru-RU"/>
                    </w:rPr>
                    <w:t xml:space="preserve"> 9</w:t>
                  </w:r>
                </w:p>
              </w:txbxContent>
            </v:textbox>
          </v:rect>
          <v:rect id="Rectangle 199" o:spid="_x0000_s4100" o:spt="1" style="position:absolute;left:330;top:308;height:835;width:11586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fhAcMA&#10;AADaAAAADwAAAGRycy9kb3ducmV2LnhtbESPQYvCMBSE78L+h/CEvYimuipajbIIC+JBsIp4fDTP&#10;tti8lCRq/febhQWPw8x8wyzXranFg5yvLCsYDhIQxLnVFRcKTsef/gyED8gaa8uk4EUe1quPzhJT&#10;bZ98oEcWChEh7FNUUIbQpFL6vCSDfmAb4uhdrTMYonSF1A6fEW5qOUqSqTRYcVwosaFNSfktuxsF&#10;u/EkuYTz0B5nt6/53tW983R3V+qz234vQARqwzv8395qBWP4uxJv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fhAcMAAADaAAAADwAAAAAAAAAAAAAAAACYAgAAZHJzL2Rv&#10;d25yZXYueG1sUEsFBgAAAAAEAAQA9QAAAIgDAAAAAA==&#10;">
            <v:path/>
            <v:fill on="f" focussize="0,0"/>
            <v:stroke weight="1pt"/>
            <v:imagedata o:title=""/>
            <o:lock v:ext="edit"/>
          </v:rect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2"/>
    <w:footnote w:id="3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85EE8"/>
    <w:rsid w:val="0000760E"/>
    <w:rsid w:val="0001156F"/>
    <w:rsid w:val="00011F1B"/>
    <w:rsid w:val="00013C36"/>
    <w:rsid w:val="0002442A"/>
    <w:rsid w:val="00024C6B"/>
    <w:rsid w:val="000418CD"/>
    <w:rsid w:val="000440B6"/>
    <w:rsid w:val="00051048"/>
    <w:rsid w:val="000525C3"/>
    <w:rsid w:val="0008146A"/>
    <w:rsid w:val="00085EE8"/>
    <w:rsid w:val="000A5CF1"/>
    <w:rsid w:val="000C1785"/>
    <w:rsid w:val="000C4847"/>
    <w:rsid w:val="000D5971"/>
    <w:rsid w:val="000E1CCE"/>
    <w:rsid w:val="000F5969"/>
    <w:rsid w:val="00116B69"/>
    <w:rsid w:val="00133D2E"/>
    <w:rsid w:val="001354A8"/>
    <w:rsid w:val="00150606"/>
    <w:rsid w:val="00164253"/>
    <w:rsid w:val="001654B8"/>
    <w:rsid w:val="00165612"/>
    <w:rsid w:val="0017315A"/>
    <w:rsid w:val="0017674D"/>
    <w:rsid w:val="00182904"/>
    <w:rsid w:val="0019054E"/>
    <w:rsid w:val="001927A0"/>
    <w:rsid w:val="001A3303"/>
    <w:rsid w:val="001B71E7"/>
    <w:rsid w:val="001C2EB9"/>
    <w:rsid w:val="001C32AC"/>
    <w:rsid w:val="001C77B0"/>
    <w:rsid w:val="001D1669"/>
    <w:rsid w:val="001D2BC7"/>
    <w:rsid w:val="001D617C"/>
    <w:rsid w:val="001D656E"/>
    <w:rsid w:val="001F558F"/>
    <w:rsid w:val="0022673A"/>
    <w:rsid w:val="0023018B"/>
    <w:rsid w:val="00254C97"/>
    <w:rsid w:val="00265DB5"/>
    <w:rsid w:val="00275687"/>
    <w:rsid w:val="00281A14"/>
    <w:rsid w:val="0028753C"/>
    <w:rsid w:val="002C6D9E"/>
    <w:rsid w:val="002D6399"/>
    <w:rsid w:val="002D7642"/>
    <w:rsid w:val="002F1184"/>
    <w:rsid w:val="002F51E2"/>
    <w:rsid w:val="003050BD"/>
    <w:rsid w:val="003120D9"/>
    <w:rsid w:val="00326308"/>
    <w:rsid w:val="003344BE"/>
    <w:rsid w:val="00341B06"/>
    <w:rsid w:val="00341C53"/>
    <w:rsid w:val="003437E6"/>
    <w:rsid w:val="003528D0"/>
    <w:rsid w:val="003D56FD"/>
    <w:rsid w:val="0040581E"/>
    <w:rsid w:val="00410BE6"/>
    <w:rsid w:val="00414CF2"/>
    <w:rsid w:val="00417943"/>
    <w:rsid w:val="004276C5"/>
    <w:rsid w:val="00437E83"/>
    <w:rsid w:val="00453A87"/>
    <w:rsid w:val="00464142"/>
    <w:rsid w:val="004701E9"/>
    <w:rsid w:val="00471008"/>
    <w:rsid w:val="00477D00"/>
    <w:rsid w:val="004874D6"/>
    <w:rsid w:val="004D0E56"/>
    <w:rsid w:val="004D4A37"/>
    <w:rsid w:val="004E5D4C"/>
    <w:rsid w:val="004F44BF"/>
    <w:rsid w:val="00512D68"/>
    <w:rsid w:val="00533514"/>
    <w:rsid w:val="0053665D"/>
    <w:rsid w:val="005422EE"/>
    <w:rsid w:val="00544261"/>
    <w:rsid w:val="00546A62"/>
    <w:rsid w:val="00550A52"/>
    <w:rsid w:val="00564503"/>
    <w:rsid w:val="005734FA"/>
    <w:rsid w:val="0058464F"/>
    <w:rsid w:val="0059380E"/>
    <w:rsid w:val="005A16EE"/>
    <w:rsid w:val="005A3014"/>
    <w:rsid w:val="005A676A"/>
    <w:rsid w:val="005C186D"/>
    <w:rsid w:val="005D7055"/>
    <w:rsid w:val="005D7AD7"/>
    <w:rsid w:val="005E1338"/>
    <w:rsid w:val="005E1918"/>
    <w:rsid w:val="005E3F54"/>
    <w:rsid w:val="005F34CB"/>
    <w:rsid w:val="005F3C6A"/>
    <w:rsid w:val="00634221"/>
    <w:rsid w:val="00637F47"/>
    <w:rsid w:val="00640F57"/>
    <w:rsid w:val="00650729"/>
    <w:rsid w:val="00655861"/>
    <w:rsid w:val="00657A12"/>
    <w:rsid w:val="00667622"/>
    <w:rsid w:val="00672549"/>
    <w:rsid w:val="00675A37"/>
    <w:rsid w:val="006A707E"/>
    <w:rsid w:val="006B3007"/>
    <w:rsid w:val="006B45DE"/>
    <w:rsid w:val="006C4789"/>
    <w:rsid w:val="006F4F8D"/>
    <w:rsid w:val="007203AD"/>
    <w:rsid w:val="0073653D"/>
    <w:rsid w:val="007461B6"/>
    <w:rsid w:val="00746821"/>
    <w:rsid w:val="007527A9"/>
    <w:rsid w:val="00773E80"/>
    <w:rsid w:val="00773F60"/>
    <w:rsid w:val="00782A4A"/>
    <w:rsid w:val="007947A3"/>
    <w:rsid w:val="007D7573"/>
    <w:rsid w:val="007F278C"/>
    <w:rsid w:val="007F3863"/>
    <w:rsid w:val="007F4D2A"/>
    <w:rsid w:val="00823B13"/>
    <w:rsid w:val="00827BFE"/>
    <w:rsid w:val="00855B75"/>
    <w:rsid w:val="00880F90"/>
    <w:rsid w:val="00881931"/>
    <w:rsid w:val="00890A51"/>
    <w:rsid w:val="008A7508"/>
    <w:rsid w:val="008B21FA"/>
    <w:rsid w:val="008B5ADA"/>
    <w:rsid w:val="008E0414"/>
    <w:rsid w:val="008F778E"/>
    <w:rsid w:val="0090113F"/>
    <w:rsid w:val="009035DE"/>
    <w:rsid w:val="009141C1"/>
    <w:rsid w:val="00916E2A"/>
    <w:rsid w:val="00924986"/>
    <w:rsid w:val="0093464A"/>
    <w:rsid w:val="00950BDF"/>
    <w:rsid w:val="00951CFE"/>
    <w:rsid w:val="00960256"/>
    <w:rsid w:val="0097576F"/>
    <w:rsid w:val="009807C1"/>
    <w:rsid w:val="009A3E18"/>
    <w:rsid w:val="009A63E4"/>
    <w:rsid w:val="009C11A5"/>
    <w:rsid w:val="009C2420"/>
    <w:rsid w:val="009C7B49"/>
    <w:rsid w:val="009D06B3"/>
    <w:rsid w:val="00A01DCF"/>
    <w:rsid w:val="00A22656"/>
    <w:rsid w:val="00A23554"/>
    <w:rsid w:val="00A24DDC"/>
    <w:rsid w:val="00A2552E"/>
    <w:rsid w:val="00A31C8C"/>
    <w:rsid w:val="00A373D9"/>
    <w:rsid w:val="00A4285E"/>
    <w:rsid w:val="00A4733E"/>
    <w:rsid w:val="00A70D3C"/>
    <w:rsid w:val="00A72A45"/>
    <w:rsid w:val="00A83B8A"/>
    <w:rsid w:val="00A8404C"/>
    <w:rsid w:val="00A9283D"/>
    <w:rsid w:val="00AA3D75"/>
    <w:rsid w:val="00AA41F4"/>
    <w:rsid w:val="00AD1CAA"/>
    <w:rsid w:val="00AE3E91"/>
    <w:rsid w:val="00AE7004"/>
    <w:rsid w:val="00B02DD6"/>
    <w:rsid w:val="00B04945"/>
    <w:rsid w:val="00B12696"/>
    <w:rsid w:val="00B26790"/>
    <w:rsid w:val="00B30F26"/>
    <w:rsid w:val="00B3323B"/>
    <w:rsid w:val="00B432B5"/>
    <w:rsid w:val="00B46F28"/>
    <w:rsid w:val="00B52E17"/>
    <w:rsid w:val="00B81AB3"/>
    <w:rsid w:val="00B94F69"/>
    <w:rsid w:val="00B9557A"/>
    <w:rsid w:val="00B9782E"/>
    <w:rsid w:val="00BB09E1"/>
    <w:rsid w:val="00BD53C8"/>
    <w:rsid w:val="00BD54E2"/>
    <w:rsid w:val="00BE1775"/>
    <w:rsid w:val="00C20FB1"/>
    <w:rsid w:val="00C41355"/>
    <w:rsid w:val="00C52DE0"/>
    <w:rsid w:val="00C557D6"/>
    <w:rsid w:val="00C804ED"/>
    <w:rsid w:val="00CA1520"/>
    <w:rsid w:val="00CE0008"/>
    <w:rsid w:val="00CE529A"/>
    <w:rsid w:val="00CF11CB"/>
    <w:rsid w:val="00CF4713"/>
    <w:rsid w:val="00D05FDF"/>
    <w:rsid w:val="00D0782C"/>
    <w:rsid w:val="00D17054"/>
    <w:rsid w:val="00D3453C"/>
    <w:rsid w:val="00D408FC"/>
    <w:rsid w:val="00D40CE7"/>
    <w:rsid w:val="00D40D66"/>
    <w:rsid w:val="00D479DC"/>
    <w:rsid w:val="00D92DFD"/>
    <w:rsid w:val="00DA5865"/>
    <w:rsid w:val="00DB3FEC"/>
    <w:rsid w:val="00DC4263"/>
    <w:rsid w:val="00DC76A3"/>
    <w:rsid w:val="00DC784B"/>
    <w:rsid w:val="00DD6ED4"/>
    <w:rsid w:val="00DE6FC9"/>
    <w:rsid w:val="00E1490B"/>
    <w:rsid w:val="00E16EDB"/>
    <w:rsid w:val="00E278EC"/>
    <w:rsid w:val="00E33B94"/>
    <w:rsid w:val="00E46357"/>
    <w:rsid w:val="00E55899"/>
    <w:rsid w:val="00E645FB"/>
    <w:rsid w:val="00E76D51"/>
    <w:rsid w:val="00E8194A"/>
    <w:rsid w:val="00E933D8"/>
    <w:rsid w:val="00EA1D18"/>
    <w:rsid w:val="00EA3CB1"/>
    <w:rsid w:val="00EA3D5E"/>
    <w:rsid w:val="00EA5483"/>
    <w:rsid w:val="00EC711E"/>
    <w:rsid w:val="00EE365E"/>
    <w:rsid w:val="00F04730"/>
    <w:rsid w:val="00F12DDC"/>
    <w:rsid w:val="00F14C96"/>
    <w:rsid w:val="00F21982"/>
    <w:rsid w:val="00F25ABC"/>
    <w:rsid w:val="00F26871"/>
    <w:rsid w:val="00F32141"/>
    <w:rsid w:val="00F463AD"/>
    <w:rsid w:val="00F503D0"/>
    <w:rsid w:val="00F531AC"/>
    <w:rsid w:val="00F67ABD"/>
    <w:rsid w:val="00F90B4A"/>
    <w:rsid w:val="00F93112"/>
    <w:rsid w:val="00FA30A1"/>
    <w:rsid w:val="00FA690D"/>
    <w:rsid w:val="00FA70A2"/>
    <w:rsid w:val="00FD2188"/>
    <w:rsid w:val="00FF3C6A"/>
    <w:rsid w:val="00FF4D1A"/>
    <w:rsid w:val="00FF7117"/>
    <w:rsid w:val="016114E8"/>
    <w:rsid w:val="01B44034"/>
    <w:rsid w:val="0E860CE1"/>
    <w:rsid w:val="0E87229D"/>
    <w:rsid w:val="117B4CA2"/>
    <w:rsid w:val="12CD19CB"/>
    <w:rsid w:val="144E07DC"/>
    <w:rsid w:val="14851779"/>
    <w:rsid w:val="196562B6"/>
    <w:rsid w:val="1C48750C"/>
    <w:rsid w:val="1F3C1C4F"/>
    <w:rsid w:val="22472973"/>
    <w:rsid w:val="256054CE"/>
    <w:rsid w:val="26B63EE5"/>
    <w:rsid w:val="28D5683E"/>
    <w:rsid w:val="29E116D0"/>
    <w:rsid w:val="2AC81DF1"/>
    <w:rsid w:val="2ADE5363"/>
    <w:rsid w:val="2D17255C"/>
    <w:rsid w:val="2D6A2D98"/>
    <w:rsid w:val="2D740220"/>
    <w:rsid w:val="340B3B7A"/>
    <w:rsid w:val="34A1760C"/>
    <w:rsid w:val="35F32813"/>
    <w:rsid w:val="388D1060"/>
    <w:rsid w:val="38E627E6"/>
    <w:rsid w:val="3EFA6ABC"/>
    <w:rsid w:val="3F705C23"/>
    <w:rsid w:val="3F7C2875"/>
    <w:rsid w:val="41D35C22"/>
    <w:rsid w:val="42FC0372"/>
    <w:rsid w:val="499B1492"/>
    <w:rsid w:val="4B4B4CC6"/>
    <w:rsid w:val="4BE6620D"/>
    <w:rsid w:val="50F6005A"/>
    <w:rsid w:val="59461A9A"/>
    <w:rsid w:val="5A7E7705"/>
    <w:rsid w:val="5C9602FA"/>
    <w:rsid w:val="622754BA"/>
    <w:rsid w:val="63F06D02"/>
    <w:rsid w:val="66CF4D40"/>
    <w:rsid w:val="67903975"/>
    <w:rsid w:val="6827516E"/>
    <w:rsid w:val="685549B8"/>
    <w:rsid w:val="6942333C"/>
    <w:rsid w:val="69E563C8"/>
    <w:rsid w:val="6F007AF2"/>
    <w:rsid w:val="7118679B"/>
    <w:rsid w:val="714F4C03"/>
    <w:rsid w:val="725B506B"/>
    <w:rsid w:val="72B678C5"/>
    <w:rsid w:val="7506350D"/>
    <w:rsid w:val="778B6F43"/>
    <w:rsid w:val="78072B24"/>
    <w:rsid w:val="791B5A51"/>
    <w:rsid w:val="79FE2930"/>
    <w:rsid w:val="7A2A3F36"/>
    <w:rsid w:val="7DEF2B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20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basedOn w:val="3"/>
    <w:semiHidden/>
    <w:unhideWhenUsed/>
    <w:qFormat/>
    <w:uiPriority w:val="99"/>
    <w:rPr>
      <w:vertAlign w:val="superscript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7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footnote text"/>
    <w:basedOn w:val="1"/>
    <w:link w:val="13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2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Текст сноски Знак"/>
    <w:basedOn w:val="3"/>
    <w:link w:val="8"/>
    <w:semiHidden/>
    <w:qFormat/>
    <w:uiPriority w:val="99"/>
    <w:rPr>
      <w:sz w:val="20"/>
      <w:szCs w:val="20"/>
    </w:rPr>
  </w:style>
  <w:style w:type="character" w:customStyle="1" w:styleId="14">
    <w:name w:val="Верхний колонтитул Знак"/>
    <w:basedOn w:val="3"/>
    <w:link w:val="9"/>
    <w:qFormat/>
    <w:uiPriority w:val="99"/>
  </w:style>
  <w:style w:type="character" w:customStyle="1" w:styleId="15">
    <w:name w:val="Нижний колонтитул Знак"/>
    <w:basedOn w:val="3"/>
    <w:link w:val="10"/>
    <w:qFormat/>
    <w:uiPriority w:val="99"/>
  </w:style>
  <w:style w:type="character" w:customStyle="1" w:styleId="16">
    <w:name w:val="Текст выноски Знак"/>
    <w:basedOn w:val="3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jsgrdq"/>
    <w:basedOn w:val="3"/>
    <w:qFormat/>
    <w:uiPriority w:val="0"/>
  </w:style>
  <w:style w:type="paragraph" w:customStyle="1" w:styleId="19">
    <w:name w:val="_04xlp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21">
    <w:name w:val="highligh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100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017837-2231-4FDA-BFEE-96D3920CE1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4</Pages>
  <Words>2258</Words>
  <Characters>12872</Characters>
  <Lines>107</Lines>
  <Paragraphs>30</Paragraphs>
  <TotalTime>5</TotalTime>
  <ScaleCrop>false</ScaleCrop>
  <LinksUpToDate>false</LinksUpToDate>
  <CharactersWithSpaces>15100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2020-11-25T07:49:00Z</dcterms:created>
  <dc:creator>Светлана</dc:creator>
  <cp:lastModifiedBy>Светлана Гаврилова</cp:lastModifiedBy>
  <cp:lastPrinted>2025-10-08T07:37:39Z</cp:lastPrinted>
  <dcterms:modified xsi:type="dcterms:W3CDTF">2025-10-08T07:41:41Z</dcterms:modified>
  <dc:title>МЕТОДИЧЕСКИЕ РЕКОМЕНДАЦИИ</dc:title>
  <cp:revision>162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8B60FDD3225546D1B4171095B06BEBCA</vt:lpwstr>
  </property>
</Properties>
</file>